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440001-2025-34852</w:t>
      </w:r>
    </w:p>
    <w:p>
      <w:pPr>
        <w:pStyle w:val="null3"/>
        <w:jc w:val="center"/>
        <w:outlineLvl w:val="3"/>
      </w:pPr>
      <w:r>
        <w:rPr>
          <w:sz w:val="24"/>
          <w:b/>
        </w:rPr>
        <w:t>采购项目编号：</w:t>
      </w:r>
      <w:r>
        <w:rPr>
          <w:sz w:val="24"/>
          <w:b/>
        </w:rPr>
        <w:t>GZZJ-ZG-2025632</w:t>
      </w:r>
    </w:p>
    <w:p>
      <w:pPr>
        <w:pStyle w:val="null3"/>
        <w:jc w:val="center"/>
        <w:outlineLvl w:val="3"/>
      </w:pPr>
      <w:r>
        <w:rPr>
          <w:sz w:val="24"/>
          <w:b/>
        </w:rPr>
        <w:t>项目名称：</w:t>
      </w:r>
      <w:r>
        <w:rPr>
          <w:sz w:val="24"/>
          <w:b/>
        </w:rPr>
        <w:t>晶圆级高密度激光辅助键合系统</w:t>
      </w:r>
    </w:p>
    <w:p>
      <w:pPr>
        <w:pStyle w:val="null3"/>
        <w:jc w:val="center"/>
        <w:outlineLvl w:val="3"/>
      </w:pPr>
      <w:r>
        <w:rPr>
          <w:sz w:val="24"/>
          <w:b/>
        </w:rPr>
        <w:t>采购人：</w:t>
      </w:r>
      <w:r>
        <w:rPr>
          <w:sz w:val="24"/>
          <w:b/>
        </w:rPr>
        <w:t>广东工业大学</w:t>
      </w:r>
    </w:p>
    <w:p>
      <w:pPr>
        <w:pStyle w:val="null3"/>
        <w:jc w:val="center"/>
        <w:outlineLvl w:val="3"/>
      </w:pPr>
      <w:r>
        <w:rPr>
          <w:sz w:val="24"/>
          <w:b/>
        </w:rPr>
        <w:t>采购代理机构：</w:t>
      </w:r>
      <w:r>
        <w:rPr>
          <w:sz w:val="24"/>
          <w:b/>
        </w:rPr>
        <w:t>广州中经招标有限公司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广州中经招标有限公司</w:t>
      </w:r>
      <w:r>
        <w:rPr/>
        <w:t>受</w:t>
      </w:r>
      <w:r>
        <w:rPr/>
        <w:t>广东工业大学</w:t>
      </w:r>
      <w:r>
        <w:rPr/>
        <w:t>的委托，采用</w:t>
      </w:r>
      <w:r>
        <w:rPr/>
        <w:t>公开招标</w:t>
      </w:r>
      <w:r>
        <w:rPr/>
        <w:t>方式组织采购</w:t>
      </w:r>
      <w:r>
        <w:rPr/>
        <w:t>晶圆级高密度激光辅助键合系统</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晶圆级高密度激光辅助键合系统</w:t>
      </w:r>
    </w:p>
    <w:p>
      <w:pPr>
        <w:pStyle w:val="null3"/>
        <w:ind w:firstLine="480"/>
      </w:pPr>
      <w:r>
        <w:rPr/>
        <w:t>采购计划编号：</w:t>
      </w:r>
      <w:r>
        <w:rPr/>
        <w:t>440001-2025-34852</w:t>
      </w:r>
    </w:p>
    <w:p>
      <w:pPr>
        <w:pStyle w:val="null3"/>
        <w:ind w:firstLine="480"/>
      </w:pPr>
      <w:r>
        <w:rPr/>
        <w:t>采购项目编号：</w:t>
      </w:r>
      <w:r>
        <w:rPr/>
        <w:t>GZZJ-ZG-2025632</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采购包1(晶圆级高密度激光辅助键合系统):</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晶圆级高密度激光辅助键合系统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p>
      <w:pPr>
        <w:pStyle w:val="null3"/>
      </w:pPr>
      <w:r>
        <w:rPr/>
        <w:t>2）具有良好的商业信誉和健全的财务会计制度：提供以下任一证明： ①2023年度或2024年度财务报告复印件； ②提供2025年至今任意1个月的财务状况报告复印件； ③银行出具的资信证明材料复印件。</w:t>
      </w:r>
    </w:p>
    <w:p>
      <w:pPr>
        <w:pStyle w:val="null3"/>
      </w:pPr>
      <w:r>
        <w:rPr/>
        <w:t>3）有依法缴纳税收和社会保障资金的良好记录：①提供2025年任意一个月依法缴纳税收的相关证明材料，如依法免税的，应提供相应文件证明其依法免税； ②提供2025年任意一个月依法缴纳社会保险的证明复印件，如依法不需要缴纳社会保障资金的，应提供相应文件证明其依法不需要缴纳社会保障资金。</w:t>
      </w:r>
    </w:p>
    <w:p>
      <w:pPr>
        <w:pStyle w:val="null3"/>
      </w:pPr>
      <w:r>
        <w:rPr/>
        <w:t>4）履行合同所必需的设备和专业技术能力：提供投标函。</w:t>
      </w:r>
    </w:p>
    <w:p>
      <w:pPr>
        <w:pStyle w:val="null3"/>
      </w:pPr>
      <w:r>
        <w:rPr/>
        <w:t>5）参加采购活动前3年内，在经营活动中没有重大违法记录：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采购包1（晶圆级高密度激光辅助键合系统）：</w:t>
      </w:r>
      <w:r>
        <w:rPr/>
        <w:t>无，本项目不属于专门面向中小企业采购的项目。</w:t>
      </w:r>
    </w:p>
    <w:p>
      <w:pPr>
        <w:pStyle w:val="null3"/>
        <w:outlineLvl w:val="3"/>
      </w:pPr>
      <w:r>
        <w:rPr>
          <w:sz w:val="24"/>
          <w:b/>
        </w:rPr>
        <w:t>3.本项目特定的资格要求：</w:t>
      </w:r>
    </w:p>
    <w:p>
      <w:pPr>
        <w:pStyle w:val="null3"/>
      </w:pPr>
      <w:r>
        <w:rPr/>
        <w:t>采购包1（晶圆级高密度激光辅助键合系统）：</w:t>
      </w:r>
    </w:p>
    <w:p>
      <w:pPr>
        <w:pStyle w:val="null3"/>
      </w:pPr>
      <w:r>
        <w:rPr/>
        <w:t>1)1）单位负责人为同一人或者存在直接控股、管理关系的不同供应商，不得同时参加本采购项目（包组）投标。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广州中经招标有限公司（http://www.gzbidding.cn/）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广东工业大学</w:t>
      </w:r>
    </w:p>
    <w:p>
      <w:pPr>
        <w:pStyle w:val="null3"/>
        <w:ind w:firstLine="480"/>
      </w:pPr>
      <w:r>
        <w:rPr/>
        <w:t xml:space="preserve"> 地址：</w:t>
      </w:r>
      <w:r>
        <w:rPr/>
        <w:t>广州市广州大学城外环西路100号</w:t>
      </w:r>
    </w:p>
    <w:p>
      <w:pPr>
        <w:pStyle w:val="null3"/>
        <w:ind w:firstLine="480"/>
      </w:pPr>
      <w:r>
        <w:rPr/>
        <w:t xml:space="preserve"> 联系方式：</w:t>
      </w:r>
      <w:r>
        <w:rPr/>
        <w:t>020-39340032</w:t>
      </w:r>
    </w:p>
    <w:p>
      <w:pPr>
        <w:pStyle w:val="null3"/>
        <w:outlineLvl w:val="3"/>
      </w:pPr>
      <w:r>
        <w:rPr>
          <w:sz w:val="24"/>
          <w:b/>
        </w:rPr>
        <w:t xml:space="preserve"> 2.采购代理机构信息</w:t>
      </w:r>
    </w:p>
    <w:p>
      <w:pPr>
        <w:pStyle w:val="null3"/>
        <w:ind w:firstLine="480"/>
      </w:pPr>
      <w:r>
        <w:rPr/>
        <w:t xml:space="preserve"> 名称：</w:t>
      </w:r>
      <w:r>
        <w:rPr/>
        <w:t>广州中经招标有限公司</w:t>
      </w:r>
    </w:p>
    <w:p>
      <w:pPr>
        <w:pStyle w:val="null3"/>
        <w:ind w:firstLine="480"/>
      </w:pPr>
      <w:r>
        <w:rPr/>
        <w:t xml:space="preserve"> 地址：</w:t>
      </w:r>
      <w:r>
        <w:rPr/>
        <w:t>广州市越秀区寺右一马路18号泰恒大厦14楼1409室</w:t>
      </w:r>
    </w:p>
    <w:p>
      <w:pPr>
        <w:pStyle w:val="null3"/>
        <w:ind w:firstLine="480"/>
      </w:pPr>
      <w:r>
        <w:rPr/>
        <w:t xml:space="preserve"> 联系方式：</w:t>
      </w:r>
      <w:r>
        <w:rPr/>
        <w:t>020-87385151、37639369、87371812、87372296</w:t>
      </w:r>
    </w:p>
    <w:p>
      <w:pPr>
        <w:pStyle w:val="null3"/>
        <w:outlineLvl w:val="3"/>
      </w:pPr>
      <w:r>
        <w:rPr>
          <w:sz w:val="24"/>
          <w:b/>
        </w:rPr>
        <w:t xml:space="preserve"> 3.项目联系方式</w:t>
      </w:r>
    </w:p>
    <w:p>
      <w:pPr>
        <w:pStyle w:val="null3"/>
        <w:ind w:firstLine="480"/>
      </w:pPr>
      <w:r>
        <w:rPr/>
        <w:t xml:space="preserve"> 项目联系人：</w:t>
      </w:r>
      <w:r>
        <w:rPr/>
        <w:t>陈小姐、庄小姐</w:t>
      </w:r>
    </w:p>
    <w:p>
      <w:pPr>
        <w:pStyle w:val="null3"/>
        <w:ind w:firstLine="480"/>
      </w:pPr>
      <w:r>
        <w:rPr/>
        <w:t xml:space="preserve"> 电话：</w:t>
      </w:r>
      <w:r>
        <w:rPr/>
        <w:t>020-87385151、37639369、87371812、87372296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广州中经招标有限公司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（一）采购清单</w:t>
      </w:r>
    </w:p>
    <w:tbl>
      <w:tblPr>
        <w:tblW w:w="0" w:type="auto"/>
        <w:tblBorders>
          <w:top w:val="none" w:color="000000" w:sz="4"/>
          <w:left w:val="none" w:color="000000" w:sz="4"/>
          <w:bottom w:val="none" w:color="000000" w:sz="4"/>
          <w:right w:val="none" w:color="000000" w:sz="4"/>
          <w:insideH w:val="none"/>
          <w:insideV w:val="none"/>
        </w:tblBorders>
      </w:tblPr>
      <w:tblGrid>
        <w:gridCol w:w="1291"/>
        <w:gridCol w:w="794"/>
        <w:gridCol w:w="793"/>
        <w:gridCol w:w="1087"/>
        <w:gridCol w:w="1085"/>
        <w:gridCol w:w="1090"/>
        <w:gridCol w:w="1078"/>
        <w:gridCol w:w="1085"/>
      </w:tblGrid>
      <w:tr>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r>
              <w:rPr>
                <w:sz w:val="21"/>
                <w:b/>
              </w:rPr>
              <w:t>数量</w:t>
            </w:r>
          </w:p>
        </w:tc>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计量</w:t>
            </w:r>
          </w:p>
          <w:p>
            <w:pPr>
              <w:pStyle w:val="null3"/>
              <w:jc w:val="center"/>
            </w:pPr>
            <w:r>
              <w:rPr>
                <w:sz w:val="21"/>
                <w:b/>
              </w:rPr>
              <w:t>单位</w:t>
            </w:r>
          </w:p>
        </w:tc>
        <w:tc>
          <w:tcPr>
            <w:tcW w:type="dxa" w:w="10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保修期（年）</w:t>
            </w:r>
          </w:p>
        </w:tc>
        <w:tc>
          <w:tcPr>
            <w:tcW w:type="dxa" w:w="10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是否允许进口产品</w:t>
            </w:r>
          </w:p>
        </w:tc>
        <w:tc>
          <w:tcPr>
            <w:tcW w:type="dxa" w:w="10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含税</w:t>
            </w:r>
            <w:r>
              <w:rPr>
                <w:sz w:val="21"/>
                <w:b/>
              </w:rPr>
              <w:t>/免税</w:t>
            </w:r>
          </w:p>
        </w:tc>
        <w:tc>
          <w:tcPr>
            <w:tcW w:type="dxa" w:w="10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标的所属行业</w:t>
            </w:r>
          </w:p>
        </w:tc>
      </w:tr>
      <w:tr>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晶圆级高密度激光辅助键合系统</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0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人民币</w:t>
            </w:r>
            <w:r>
              <w:rPr>
                <w:sz w:val="21"/>
              </w:rPr>
              <w:t>420万元</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0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含税</w:t>
            </w:r>
          </w:p>
        </w:tc>
        <w:tc>
          <w:tcPr>
            <w:tcW w:type="dxa" w:w="10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w:t>
            </w:r>
          </w:p>
        </w:tc>
      </w:tr>
    </w:tbl>
    <w:p>
      <w:pPr>
        <w:pStyle w:val="null3"/>
        <w:spacing w:before="150"/>
        <w:jc w:val="both"/>
      </w:pPr>
      <w:r>
        <w:rPr>
          <w:sz w:val="21"/>
          <w:b/>
        </w:rPr>
        <w:t>（二）项目属性：货物类。</w:t>
      </w:r>
    </w:p>
    <w:p>
      <w:pPr>
        <w:pStyle w:val="null3"/>
        <w:jc w:val="left"/>
      </w:pPr>
      <w:r>
        <w:rPr>
          <w:sz w:val="21"/>
          <w:b/>
        </w:rPr>
        <w:t>（三）投标说明</w:t>
      </w:r>
    </w:p>
    <w:p>
      <w:pPr>
        <w:pStyle w:val="null3"/>
        <w:jc w:val="left"/>
      </w:pPr>
      <w:r>
        <w:rPr>
          <w:sz w:val="21"/>
        </w:rPr>
        <w:t>1.投标人必须对所有采购内容或服务进行整体响应，任何只对部分内容进行响应都被视为无效报价。</w:t>
      </w:r>
    </w:p>
    <w:p>
      <w:pPr>
        <w:pStyle w:val="null3"/>
        <w:jc w:val="left"/>
      </w:pPr>
      <w:r>
        <w:rPr>
          <w:sz w:val="21"/>
        </w:rPr>
        <w:t>2.需求书中加注“★”的条款均被视为不可偏离条款，投标人要特别加以注意，必须对此响应并完全满足或优于这些条款，否则若有一项加注“★”的条款未响应或不满足，投标都将被视为无效投标。</w:t>
      </w:r>
    </w:p>
    <w:p>
      <w:pPr>
        <w:pStyle w:val="null3"/>
        <w:jc w:val="left"/>
      </w:pPr>
      <w:r>
        <w:rPr>
          <w:sz w:val="21"/>
        </w:rPr>
        <w:t>★3.投标人应在《分项报价表》上标明本项目拟提供主要标的的名称、规格型号、品牌、产地、制造商名称、单价、数量、总价。</w:t>
      </w:r>
    </w:p>
    <w:p>
      <w:pPr>
        <w:pStyle w:val="null3"/>
        <w:jc w:val="both"/>
      </w:pPr>
      <w:r>
        <w:rPr>
          <w:sz w:val="21"/>
          <w:b/>
        </w:rPr>
        <w:t>（四）投标人需在投标文件中提供所投设备的详细配置清单。</w:t>
      </w:r>
    </w:p>
    <w:p>
      <w:pPr>
        <w:pStyle w:val="null3"/>
      </w:pPr>
      <w:r>
        <w:rPr/>
        <w:t>采购包1（晶圆级高密度激光辅助键合系统）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合同生效90天内投标人完成货物安装调试并交付使用。</w:t>
            </w:r>
          </w:p>
        </w:tc>
      </w:tr>
      <w:tr>
        <w:tc>
          <w:tcPr>
            <w:tcW w:type="dxa" w:w="4153"/>
          </w:tcPr>
          <w:p>
            <w:pPr>
              <w:pStyle w:val="null3"/>
            </w:pPr>
            <w:r>
              <w:rPr/>
              <w:t>标的提供的地点</w:t>
            </w:r>
          </w:p>
        </w:tc>
        <w:tc>
          <w:tcPr>
            <w:tcW w:type="dxa" w:w="4153"/>
          </w:tcPr>
          <w:p>
            <w:pPr>
              <w:pStyle w:val="null3"/>
            </w:pPr>
            <w:r>
              <w:rPr/>
              <w:t>广东工业大学大学城校区机电工程学院指定地点。</w:t>
            </w:r>
          </w:p>
        </w:tc>
      </w:tr>
      <w:tr>
        <w:tc>
          <w:tcPr>
            <w:tcW w:type="dxa" w:w="4153"/>
          </w:tcPr>
          <w:p>
            <w:pPr>
              <w:pStyle w:val="null3"/>
            </w:pPr>
            <w:r>
              <w:rPr/>
              <w:t>付款方式</w:t>
            </w:r>
          </w:p>
        </w:tc>
        <w:tc>
          <w:tcPr>
            <w:tcW w:type="dxa" w:w="4153"/>
          </w:tcPr>
          <w:p>
            <w:pPr>
              <w:pStyle w:val="null3"/>
            </w:pPr>
            <w:r>
              <w:rPr/>
              <w:t>1期：支付比例100%,供应商履约、货物安装调试完毕，采购人收到供应商验收申请后 7 日内组织履约验收，经采购人、中标人双方对货物进行验收合格并完成交付后，中标人开具全额增值税专用发票给采购人作为报账凭证，采购人自收到发票后10个工作日内按其规章制度办理支付手续向中标人支付全部合同货款。 若中标人为中小企业，本项目货款分两期支付：第1期为(预付款)：支付比例30%，合同生效后5个工作日内，采购人收到中标人开具的增值税专用发票后向中标人支付30%的合同货款作为预付款。第2期为(尾款)：支付比例70%，货物安装调试完毕，经采购人、中标人双方对货物进行验收合格并完成交付后，中标人开具增值税专用发票给采购人作为报账凭证。收到报账凭证后10个工作日内，采购人按其规章制度办理支付手续向中标人支付剩余70%的合同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交付验收标准为：按合同约定的货物及价格、详细配置清单及技术指标、符合采购文件和响应承诺中采购人认可的合理最佳配置、参数及各项要求、国家相关标准和行业规范进行验收（该等标准不一致的，以较高为准）。 2. 验收流程按采购人规章制度执行，由采购人组成验收小组（含中标人人员）按国家有关规定、规范进行验收，必要时采购人可邀请相关的专业人员或机构参与验收。验收时，采购人、中标人双方必须同时在场，验收完毕后做出验收结果报告。 3. 货物安装调试完毕且正常运行后，中标人应向采购人提出书面验收申请，准备并向采购人提交验收文件，采购人在收到验收申请后7日内，组织对合同项下的全部货物按采购人验收流程验收通过，经采购人和中标人双方签署验收合格证明后，视为验收合格。 4. 验收合格后，中标人应将货物的用户手册、保修手册、有关单证资料及配备件、随机工具等交付给采购人，使用操作及安全须知等重要资料应附有中文说明。前述资料物品交付完毕当日，视为合同货物完成交付。 5. 中标人交货前应对产品做出全面检查和对验收文件进行整理，并列出清单，作为采购人收货验收和使用的技术条件依据，检验的结果应随货交采购人。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投标报价要求</w:t>
            </w:r>
          </w:p>
        </w:tc>
        <w:tc>
          <w:tcPr>
            <w:tcW w:type="dxa" w:w="2076"/>
          </w:tcPr>
          <w:p>
            <w:pPr>
              <w:pStyle w:val="null3"/>
              <w:jc w:val="left"/>
            </w:pPr>
            <w:r>
              <w:rPr/>
              <w:t>投标总价为完成项目的全包价，包括但不限于购买货物、保险运输、装卸进场、安装调试、产品检测、产品验收、培训验收、售后服务、设备所带软件系统的永久使用许可等费用、各项税费及合同实施过程中不可预见费用等。除合同明确约定的费用外，采购人无需支付任何额外费用和承担任何额外义务。</w:t>
            </w:r>
          </w:p>
        </w:tc>
      </w:tr>
      <w:tr>
        <w:tc>
          <w:tcPr>
            <w:tcW w:type="dxa" w:w="2076"/>
          </w:tcPr>
          <w:p/>
        </w:tc>
        <w:tc>
          <w:tcPr>
            <w:tcW w:type="dxa" w:w="2076"/>
          </w:tcPr>
          <w:p>
            <w:pPr>
              <w:pStyle w:val="null3"/>
              <w:jc w:val="center"/>
            </w:pPr>
            <w:r>
              <w:rPr/>
              <w:t>2</w:t>
            </w:r>
          </w:p>
        </w:tc>
        <w:tc>
          <w:tcPr>
            <w:tcW w:type="dxa" w:w="2076"/>
          </w:tcPr>
          <w:p>
            <w:pPr>
              <w:pStyle w:val="null3"/>
              <w:jc w:val="left"/>
            </w:pPr>
            <w:r>
              <w:rPr/>
              <w:t>总体要求</w:t>
            </w:r>
          </w:p>
        </w:tc>
        <w:tc>
          <w:tcPr>
            <w:tcW w:type="dxa" w:w="2076"/>
          </w:tcPr>
          <w:p>
            <w:pPr>
              <w:pStyle w:val="null3"/>
              <w:jc w:val="left"/>
            </w:pPr>
            <w:r>
              <w:rPr/>
              <w:t>（1）投标人应对投标设备列明其品牌、型号、制造商名称、产地、技术参数、功能介绍和使用说明。 （2）对于影响设备正常工作的必要组成部分，无论在采购技术规范中指出与否，投标人都应提供并在投标文件中明确列出。 （3）投标人所投货物的名称、品牌/制造商名称、型号、规格、配置（包括备品备件）、产地、数量等信息必须准确无误，且应与机器（机身铭牌）上的信息完全一致，中标后在签署合同和供货等后续环节均不得再作任何修改。 （4）投标货物的技术规格、功能作用与招标文件要求一致而制造商所提供货物之设备名称与招标文件名称不一致的，须对设备名称不一致提供相关说明（格式自拟）。 （5）中标人保证其所投货物和服务不侵犯任何第三人的合法权益，否则，由中标人承担因此导致的一切法律后果，并赔偿采购人因此遭受的全部损失，包括但不限于直接经济损失、预期收益损失、名誉损失、维护权益的成本等。</w:t>
            </w:r>
          </w:p>
        </w:tc>
      </w:tr>
      <w:tr>
        <w:tc>
          <w:tcPr>
            <w:tcW w:type="dxa" w:w="2076"/>
          </w:tcPr>
          <w:p/>
        </w:tc>
        <w:tc>
          <w:tcPr>
            <w:tcW w:type="dxa" w:w="2076"/>
          </w:tcPr>
          <w:p>
            <w:pPr>
              <w:pStyle w:val="null3"/>
              <w:jc w:val="center"/>
            </w:pPr>
            <w:r>
              <w:rPr/>
              <w:t>3</w:t>
            </w:r>
          </w:p>
        </w:tc>
        <w:tc>
          <w:tcPr>
            <w:tcW w:type="dxa" w:w="2076"/>
          </w:tcPr>
          <w:p>
            <w:pPr>
              <w:pStyle w:val="null3"/>
              <w:jc w:val="left"/>
            </w:pPr>
            <w:r>
              <w:rPr/>
              <w:t>货物质量要求</w:t>
            </w:r>
          </w:p>
        </w:tc>
        <w:tc>
          <w:tcPr>
            <w:tcW w:type="dxa" w:w="2076"/>
          </w:tcPr>
          <w:p>
            <w:pPr>
              <w:pStyle w:val="null3"/>
              <w:jc w:val="left"/>
            </w:pPr>
            <w:r>
              <w:rPr/>
              <w:t>（1）投标人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 （2）投标人提供的货物必须是原厂原装全新正版产品（含零部件、配件、随机工具等），包装外观完好、表面无划伤无破损、附件齐全，整机无污染、无任何缺陷隐患，序列号、包装箱号与出厂批号一致，并可追索查阅。中国国内货物则必须具备出厂合格证，所有货物在中国境内可依常规安全合法使用。 （3）投标人对提供的货物提供3年的质量保证期。货物在质量保证期内被证明有缺陷，包括内在缺陷或使用不适当原材料，或者货物在维保期内维修超过3次，仍达不到合同要求，投标人应予退换货。 （4）投标人保证提供货物安全，包括技术和质量安全，非因采购人人员原因，货物造成的人身、财产损害，由投标人承担全部责任。</w:t>
            </w:r>
          </w:p>
        </w:tc>
      </w:tr>
      <w:tr>
        <w:tc>
          <w:tcPr>
            <w:tcW w:type="dxa" w:w="2076"/>
          </w:tcPr>
          <w:p/>
        </w:tc>
        <w:tc>
          <w:tcPr>
            <w:tcW w:type="dxa" w:w="2076"/>
          </w:tcPr>
          <w:p>
            <w:pPr>
              <w:pStyle w:val="null3"/>
              <w:jc w:val="center"/>
            </w:pPr>
            <w:r>
              <w:rPr/>
              <w:t>4</w:t>
            </w:r>
          </w:p>
        </w:tc>
        <w:tc>
          <w:tcPr>
            <w:tcW w:type="dxa" w:w="2076"/>
          </w:tcPr>
          <w:p>
            <w:pPr>
              <w:pStyle w:val="null3"/>
              <w:jc w:val="left"/>
            </w:pPr>
            <w:r>
              <w:rPr/>
              <w:t>设备包装</w:t>
            </w:r>
          </w:p>
        </w:tc>
        <w:tc>
          <w:tcPr>
            <w:tcW w:type="dxa" w:w="2076"/>
          </w:tcPr>
          <w:p>
            <w:pPr>
              <w:pStyle w:val="null3"/>
              <w:jc w:val="left"/>
            </w:pPr>
            <w:r>
              <w:rPr/>
              <w:t>设备的包装均应有良好的防湿、防锈、防潮、防雨、防腐及防碰撞等的措施，符合《商品包装政府采购需求标准（试行）》及《快递包装政府采购需求标准（试行）》的要求。凡由于包装不良造成的损失和由此产生的费用均由中标人承担。</w:t>
            </w:r>
          </w:p>
        </w:tc>
      </w:tr>
      <w:tr>
        <w:tc>
          <w:tcPr>
            <w:tcW w:type="dxa" w:w="2076"/>
          </w:tcPr>
          <w:p/>
        </w:tc>
        <w:tc>
          <w:tcPr>
            <w:tcW w:type="dxa" w:w="2076"/>
          </w:tcPr>
          <w:p>
            <w:pPr>
              <w:pStyle w:val="null3"/>
              <w:jc w:val="center"/>
            </w:pPr>
            <w:r>
              <w:rPr/>
              <w:t>5</w:t>
            </w:r>
          </w:p>
        </w:tc>
        <w:tc>
          <w:tcPr>
            <w:tcW w:type="dxa" w:w="2076"/>
          </w:tcPr>
          <w:p>
            <w:pPr>
              <w:pStyle w:val="null3"/>
              <w:jc w:val="left"/>
            </w:pPr>
            <w:r>
              <w:rPr/>
              <w:t>到货检验、安装调试</w:t>
            </w:r>
          </w:p>
        </w:tc>
        <w:tc>
          <w:tcPr>
            <w:tcW w:type="dxa" w:w="2076"/>
          </w:tcPr>
          <w:p>
            <w:pPr>
              <w:pStyle w:val="null3"/>
              <w:jc w:val="left"/>
            </w:pPr>
            <w:r>
              <w:rPr/>
              <w:t>（1）货物送到采购人指定地点后，采购人和中标人双方代表同时在场时才能开箱检验。 （2）采购人和中标人双方就货物进行的检验包括但不限于名称、品牌、规格、型号、产地、数量外在可视参数。 （3）除非采购人另有通知，中标人应按照合同的要求以及合同执行计划的时间安排，派出足够的人员进行现场安装和调试工作，并承担货物安装调试过程所产生的一切费用和责任直至验收合格。 （4）中标人必须依照招标文件的要求和报价文件的承诺，将货物安装并调试至正常运行的最佳状态。 （5）软件类产品中标人还应提供软件现场或远程安装，包括软件服务器端安装、客户端安装和软件license的安装；在服务器端安装时中标人应主动寻求服务器供应商的工程师配合。</w:t>
            </w:r>
          </w:p>
        </w:tc>
      </w:tr>
      <w:tr>
        <w:tc>
          <w:tcPr>
            <w:tcW w:type="dxa" w:w="2076"/>
          </w:tcPr>
          <w:p/>
        </w:tc>
        <w:tc>
          <w:tcPr>
            <w:tcW w:type="dxa" w:w="2076"/>
          </w:tcPr>
          <w:p>
            <w:pPr>
              <w:pStyle w:val="null3"/>
              <w:jc w:val="center"/>
            </w:pPr>
            <w:r>
              <w:rPr/>
              <w:t>6</w:t>
            </w:r>
          </w:p>
        </w:tc>
        <w:tc>
          <w:tcPr>
            <w:tcW w:type="dxa" w:w="2076"/>
          </w:tcPr>
          <w:p>
            <w:pPr>
              <w:pStyle w:val="null3"/>
              <w:jc w:val="left"/>
            </w:pPr>
            <w:r>
              <w:rPr/>
              <w:t>培训及售后服务</w:t>
            </w:r>
          </w:p>
        </w:tc>
        <w:tc>
          <w:tcPr>
            <w:tcW w:type="dxa" w:w="2076"/>
          </w:tcPr>
          <w:p>
            <w:pPr>
              <w:pStyle w:val="null3"/>
              <w:jc w:val="left"/>
            </w:pPr>
            <w:r>
              <w:rPr/>
              <w:t>（1）中标人负责采购人使用人员的使用操作技术及维护技术的培训直至其能熟练、独立操作，具体培训内容和时间安排由双方协商确定。对于软件类产品，中标人还需要对采购人使用人员进行必要的现场培训，保证采购人使用人员能独立安装、升级软件和运行算例。 （2）所有货物保修期为3年，中标人提供免费3年上门保修服务和系统维护，中标人不再收取任何费用，保修期自采购人和中标人双方代表在货物安装调试后的验收证明文件上签字之日起计算。 （3）保修期内，货物或零部件因质量原因出现故障而造成短期停用时，则保修期和免费维修期相应顺延。如停用时间累计超过60天则保修期重新计算。 （4）保修期内，货物如非采购人人为原因而出现的问题由中标人负责包修、包换或包退，并承担修理、调换或退货的实际费用。如果货物同一硬件一个月内连续2次出现同一故障时，中标人须无偿更换全新货物。 （5）货物（含软件类产品）故障报修的响应时间为2小时内，且在8小时内（连同前面时间计算）到达现场，24 小时内处理完毕。规定时间内未处理完毕的，中标人在48小时内提供相同功能的替代货物供用户使用至故障消除为止。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晶圆级高密度激光辅助键合系统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4,200,000.00</w:t>
            </w:r>
          </w:p>
        </w:tc>
        <w:tc>
          <w:tcPr>
            <w:tcW w:type="dxa" w:w="831"/>
          </w:tcPr>
          <w:p>
            <w:pPr>
              <w:pStyle w:val="null3"/>
              <w:jc w:val="right"/>
            </w:pPr>
            <w:r>
              <w:rPr/>
              <w:t>4,200,000.00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晶圆级高密度激光辅助键合系统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1、配置激光发射模块，激光波</w:t>
            </w:r>
            <w:r>
              <w:rPr>
                <w:sz w:val="21"/>
              </w:rPr>
              <w:t>长</w:t>
            </w:r>
            <w:r>
              <w:rPr>
                <w:sz w:val="21"/>
              </w:rPr>
              <w:t>：</w:t>
            </w:r>
            <w:r>
              <w:rPr>
                <w:sz w:val="21"/>
              </w:rPr>
              <w:t>≤</w:t>
            </w:r>
            <w:r>
              <w:rPr>
                <w:sz w:val="21"/>
              </w:rPr>
              <w:t>980nm。</w:t>
            </w:r>
          </w:p>
        </w:tc>
      </w:tr>
      <w:tr>
        <w:tc>
          <w:tcPr>
            <w:tcW w:type="dxa" w:w="2076"/>
          </w:tcPr>
          <w:p/>
        </w:tc>
        <w:tc>
          <w:tcPr>
            <w:tcW w:type="dxa" w:w="415"/>
          </w:tcPr>
          <w:p>
            <w:pPr>
              <w:pStyle w:val="null3"/>
            </w:pPr>
            <w:r>
              <w:rPr/>
              <w:t>2</w:t>
            </w:r>
          </w:p>
        </w:tc>
        <w:tc>
          <w:tcPr>
            <w:tcW w:type="dxa" w:w="5814"/>
          </w:tcPr>
          <w:p>
            <w:pPr>
              <w:pStyle w:val="null3"/>
              <w:jc w:val="both"/>
            </w:pPr>
            <w:r>
              <w:rPr>
                <w:sz w:val="21"/>
              </w:rPr>
              <w:t>2、通过激光加热，激光功率</w:t>
            </w:r>
            <w:r>
              <w:rPr>
                <w:sz w:val="21"/>
              </w:rPr>
              <w:t>：</w:t>
            </w:r>
            <w:r>
              <w:rPr>
                <w:sz w:val="21"/>
              </w:rPr>
              <w:t>≥</w:t>
            </w:r>
            <w:r>
              <w:rPr>
                <w:sz w:val="21"/>
              </w:rPr>
              <w:t>6000W</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3、激光器寿命：</w:t>
            </w:r>
            <w:r>
              <w:rPr>
                <w:sz w:val="21"/>
              </w:rPr>
              <w:t>≥</w:t>
            </w:r>
            <w:r>
              <w:rPr>
                <w:sz w:val="21"/>
              </w:rPr>
              <w:t>20000小时。</w:t>
            </w:r>
          </w:p>
        </w:tc>
      </w:tr>
      <w:tr>
        <w:tc>
          <w:tcPr>
            <w:tcW w:type="dxa" w:w="2076"/>
          </w:tcPr>
          <w:p/>
        </w:tc>
        <w:tc>
          <w:tcPr>
            <w:tcW w:type="dxa" w:w="415"/>
          </w:tcPr>
          <w:p>
            <w:pPr>
              <w:pStyle w:val="null3"/>
            </w:pPr>
            <w:r>
              <w:rPr/>
              <w:t>4</w:t>
            </w:r>
          </w:p>
        </w:tc>
        <w:tc>
          <w:tcPr>
            <w:tcW w:type="dxa" w:w="5814"/>
          </w:tcPr>
          <w:p>
            <w:pPr>
              <w:pStyle w:val="null3"/>
              <w:jc w:val="both"/>
            </w:pPr>
            <w:r>
              <w:rPr>
                <w:sz w:val="21"/>
              </w:rPr>
              <w:t>4、配置红外测温传感器，检测误差为±1℃。</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5、芯片尺寸范围：0.1*0.1mm~</w:t>
            </w:r>
            <w:r>
              <w:rPr>
                <w:sz w:val="21"/>
              </w:rPr>
              <w:t>60*60</w:t>
            </w:r>
            <w:r>
              <w:rPr>
                <w:sz w:val="21"/>
              </w:rPr>
              <w:t>mm。</w:t>
            </w:r>
          </w:p>
        </w:tc>
      </w:tr>
      <w:tr>
        <w:tc>
          <w:tcPr>
            <w:tcW w:type="dxa" w:w="2076"/>
          </w:tcPr>
          <w:p/>
        </w:tc>
        <w:tc>
          <w:tcPr>
            <w:tcW w:type="dxa" w:w="415"/>
          </w:tcPr>
          <w:p>
            <w:pPr>
              <w:pStyle w:val="null3"/>
            </w:pPr>
            <w:r>
              <w:rPr/>
              <w:t>6</w:t>
            </w:r>
          </w:p>
        </w:tc>
        <w:tc>
          <w:tcPr>
            <w:tcW w:type="dxa" w:w="5814"/>
          </w:tcPr>
          <w:p>
            <w:pPr>
              <w:pStyle w:val="null3"/>
              <w:jc w:val="both"/>
            </w:pPr>
            <w:r>
              <w:rPr>
                <w:sz w:val="21"/>
              </w:rPr>
              <w:t>6、芯片厚度范围：0.03~2mm。</w:t>
            </w:r>
          </w:p>
        </w:tc>
      </w:tr>
      <w:tr>
        <w:tc>
          <w:tcPr>
            <w:tcW w:type="dxa" w:w="2076"/>
          </w:tcPr>
          <w:p/>
        </w:tc>
        <w:tc>
          <w:tcPr>
            <w:tcW w:type="dxa" w:w="415"/>
          </w:tcPr>
          <w:p>
            <w:pPr>
              <w:pStyle w:val="null3"/>
            </w:pPr>
            <w:r>
              <w:rPr/>
              <w:t>7</w:t>
            </w:r>
          </w:p>
        </w:tc>
        <w:tc>
          <w:tcPr>
            <w:tcW w:type="dxa" w:w="5814"/>
          </w:tcPr>
          <w:p>
            <w:pPr>
              <w:pStyle w:val="null3"/>
              <w:jc w:val="both"/>
            </w:pPr>
            <w:r>
              <w:rPr>
                <w:sz w:val="21"/>
              </w:rPr>
              <w:t>7、加工尺寸：≥300*300mm。</w:t>
            </w:r>
          </w:p>
        </w:tc>
      </w:tr>
      <w:tr>
        <w:tc>
          <w:tcPr>
            <w:tcW w:type="dxa" w:w="2076"/>
          </w:tcPr>
          <w:p/>
        </w:tc>
        <w:tc>
          <w:tcPr>
            <w:tcW w:type="dxa" w:w="415"/>
          </w:tcPr>
          <w:p>
            <w:pPr>
              <w:pStyle w:val="null3"/>
            </w:pPr>
            <w:r>
              <w:rPr/>
              <w:t>8</w:t>
            </w:r>
          </w:p>
        </w:tc>
        <w:tc>
          <w:tcPr>
            <w:tcW w:type="dxa" w:w="5814"/>
          </w:tcPr>
          <w:p>
            <w:pPr>
              <w:pStyle w:val="null3"/>
              <w:jc w:val="both"/>
            </w:pPr>
            <w:r>
              <w:rPr>
                <w:sz w:val="21"/>
              </w:rPr>
              <w:t>8、平台精度：重复定位精度≤0.4μm，定位精度≤0.8μm。</w:t>
            </w:r>
          </w:p>
        </w:tc>
      </w:tr>
      <w:tr>
        <w:tc>
          <w:tcPr>
            <w:tcW w:type="dxa" w:w="2076"/>
          </w:tcPr>
          <w:p/>
        </w:tc>
        <w:tc>
          <w:tcPr>
            <w:tcW w:type="dxa" w:w="415"/>
          </w:tcPr>
          <w:p>
            <w:pPr>
              <w:pStyle w:val="null3"/>
            </w:pPr>
            <w:r>
              <w:rPr/>
              <w:t>9</w:t>
            </w:r>
          </w:p>
        </w:tc>
        <w:tc>
          <w:tcPr>
            <w:tcW w:type="dxa" w:w="5814"/>
          </w:tcPr>
          <w:p>
            <w:pPr>
              <w:pStyle w:val="null3"/>
              <w:jc w:val="both"/>
            </w:pPr>
            <w:r>
              <w:rPr>
                <w:sz w:val="21"/>
              </w:rPr>
              <w:t>9、相机精度：</w:t>
            </w:r>
            <w:r>
              <w:rPr>
                <w:sz w:val="21"/>
              </w:rPr>
              <w:t>±0.8μm。</w:t>
            </w:r>
          </w:p>
        </w:tc>
      </w:tr>
      <w:tr>
        <w:tc>
          <w:tcPr>
            <w:tcW w:type="dxa" w:w="2076"/>
          </w:tcPr>
          <w:p/>
        </w:tc>
        <w:tc>
          <w:tcPr>
            <w:tcW w:type="dxa" w:w="415"/>
          </w:tcPr>
          <w:p>
            <w:pPr>
              <w:pStyle w:val="null3"/>
            </w:pPr>
            <w:r>
              <w:rPr/>
              <w:t>10</w:t>
            </w:r>
          </w:p>
        </w:tc>
        <w:tc>
          <w:tcPr>
            <w:tcW w:type="dxa" w:w="5814"/>
          </w:tcPr>
          <w:p>
            <w:pPr>
              <w:pStyle w:val="null3"/>
              <w:jc w:val="both"/>
            </w:pPr>
            <w:r>
              <w:rPr>
                <w:sz w:val="21"/>
              </w:rPr>
              <w:t>10、相机分辨率：≥4000W像素。</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11、整机贴合精度：≤±1μm。</w:t>
            </w:r>
          </w:p>
        </w:tc>
      </w:tr>
      <w:tr>
        <w:tc>
          <w:tcPr>
            <w:tcW w:type="dxa" w:w="2076"/>
          </w:tcPr>
          <w:p/>
        </w:tc>
        <w:tc>
          <w:tcPr>
            <w:tcW w:type="dxa" w:w="415"/>
          </w:tcPr>
          <w:p>
            <w:pPr>
              <w:pStyle w:val="null3"/>
            </w:pPr>
            <w:r>
              <w:rPr/>
              <w:t>12</w:t>
            </w:r>
          </w:p>
        </w:tc>
        <w:tc>
          <w:tcPr>
            <w:tcW w:type="dxa" w:w="5814"/>
          </w:tcPr>
          <w:p>
            <w:pPr>
              <w:pStyle w:val="null3"/>
              <w:jc w:val="both"/>
            </w:pPr>
            <w:r>
              <w:rPr>
                <w:sz w:val="21"/>
              </w:rPr>
              <w:t>12、配置加压石英吸嘴，尺寸可支持0.2*0.2mm、2*2mm、5*5mm、10*10mm。</w:t>
            </w:r>
          </w:p>
        </w:tc>
      </w:tr>
      <w:tr>
        <w:tc>
          <w:tcPr>
            <w:tcW w:type="dxa" w:w="2076"/>
          </w:tcPr>
          <w:p/>
        </w:tc>
        <w:tc>
          <w:tcPr>
            <w:tcW w:type="dxa" w:w="415"/>
          </w:tcPr>
          <w:p>
            <w:pPr>
              <w:pStyle w:val="null3"/>
            </w:pPr>
            <w:r>
              <w:rPr/>
              <w:t>13</w:t>
            </w:r>
          </w:p>
        </w:tc>
        <w:tc>
          <w:tcPr>
            <w:tcW w:type="dxa" w:w="5814"/>
          </w:tcPr>
          <w:p>
            <w:pPr>
              <w:pStyle w:val="null3"/>
              <w:jc w:val="both"/>
            </w:pPr>
            <w:r>
              <w:rPr>
                <w:sz w:val="21"/>
              </w:rPr>
              <w:t>13、配置晶圆加热平台，温度范围为室温~</w:t>
            </w:r>
            <w:r>
              <w:rPr>
                <w:sz w:val="21"/>
              </w:rPr>
              <w:t>450</w:t>
            </w:r>
            <w:r>
              <w:rPr>
                <w:sz w:val="21"/>
              </w:rPr>
              <w:t>℃。</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14、</w:t>
            </w:r>
            <w:r>
              <w:rPr>
                <w:sz w:val="21"/>
              </w:rPr>
              <w:t>配置四个压力模块，微压力模块支持设定压力为</w:t>
            </w:r>
            <w:r>
              <w:rPr>
                <w:sz w:val="21"/>
              </w:rPr>
              <w:t>0.03~</w:t>
            </w:r>
            <w:r>
              <w:rPr>
                <w:sz w:val="21"/>
              </w:rPr>
              <w:t>1.5N，小压力模块支持设定压力0.8~</w:t>
            </w:r>
            <w:r>
              <w:rPr>
                <w:sz w:val="21"/>
              </w:rPr>
              <w:t>12N，中压力模块支持设定压力为8~</w:t>
            </w:r>
            <w:r>
              <w:rPr>
                <w:sz w:val="21"/>
              </w:rPr>
              <w:t>120N，大压力模块支持设定压力为80~</w:t>
            </w:r>
            <w:r>
              <w:rPr>
                <w:sz w:val="21"/>
              </w:rPr>
              <w:t>550N，模块可自由拆卸更换。</w:t>
            </w:r>
          </w:p>
        </w:tc>
      </w:tr>
      <w:tr>
        <w:tc>
          <w:tcPr>
            <w:tcW w:type="dxa" w:w="2076"/>
          </w:tcPr>
          <w:p/>
        </w:tc>
        <w:tc>
          <w:tcPr>
            <w:tcW w:type="dxa" w:w="415"/>
          </w:tcPr>
          <w:p>
            <w:pPr>
              <w:pStyle w:val="null3"/>
            </w:pPr>
            <w:r>
              <w:rPr/>
              <w:t>15</w:t>
            </w:r>
          </w:p>
        </w:tc>
        <w:tc>
          <w:tcPr>
            <w:tcW w:type="dxa" w:w="5814"/>
          </w:tcPr>
          <w:p>
            <w:pPr>
              <w:pStyle w:val="null3"/>
              <w:jc w:val="both"/>
            </w:pPr>
            <w:r>
              <w:rPr>
                <w:sz w:val="21"/>
              </w:rPr>
              <w:t>15、配置惰性气体保护：具有基本封闭的惰性气体保护腔体。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1.采购代理机构：本项目是指广州中经招标有限公司，负责整个采购活动的组织，依法负责编制和发布招标文件，对招标文件拥有最终的解释权，不以任何身份出任评标委员会成员。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广东工业大学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采购包1：保证金人民币60000.0元整</w:t>
            </w:r>
          </w:p>
          <w:p>
            <w:pPr>
              <w:pStyle w:val="null3"/>
            </w:pPr>
            <w:r>
              <w:rPr/>
              <w:t>缴费渠道：</w:t>
            </w:r>
            <w:r>
              <w:rPr/>
              <w:t>电子保函（保险）</w:t>
            </w:r>
            <w:r>
              <w:rPr/>
              <w:t>、支票（本票、汇票）</w:t>
            </w:r>
            <w:r>
              <w:rPr/>
              <w:t>、其他</w:t>
            </w:r>
          </w:p>
          <w:p>
            <w:pPr>
              <w:pStyle w:val="null3"/>
            </w:pPr>
            <w:r>
              <w:rPr/>
              <w:t>开户单位：广州中经招标有限公司</w:t>
            </w:r>
          </w:p>
          <w:p>
            <w:pPr>
              <w:pStyle w:val="null3"/>
            </w:pPr>
            <w:r>
              <w:rPr/>
              <w:t>开户账号：9550880203416300174</w:t>
            </w:r>
          </w:p>
          <w:p>
            <w:pPr>
              <w:pStyle w:val="null3"/>
            </w:pPr>
            <w:r>
              <w:rPr/>
              <w:t>开户银行：广发银行广州五羊新城支行</w:t>
            </w:r>
          </w:p>
          <w:p>
            <w:pPr>
              <w:pStyle w:val="null3"/>
            </w:pPr>
            <w:r>
              <w:rPr/>
              <w:t>支票提交方式：非现金形式</w:t>
            </w:r>
          </w:p>
          <w:p>
            <w:pPr>
              <w:pStyle w:val="null3"/>
            </w:pPr>
            <w:r>
              <w:rPr/>
              <w:t>汇票、本票提交方式：非现金形式</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采购机构代理服务收费标准：招标服务费向中标/成交单位收取，收费标准的计算参照《广东省物价局粤价函〔2013〕1233号》规定的标准费率下浮20%，按货物类计算。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广州中经招标有限公司</w:t>
      </w:r>
      <w:r>
        <w:rPr/>
        <w:t>代收。具体操作要求详见</w:t>
      </w:r>
      <w:r>
        <w:rPr/>
        <w:t>广州中经招标有限公司</w:t>
      </w:r>
      <w:r>
        <w:rPr/>
        <w:t>有关指引，递交事宜请自行咨询</w:t>
      </w:r>
      <w:r>
        <w:rPr/>
        <w:t>广州中经招标有限公司</w:t>
      </w:r>
      <w:r>
        <w:rPr/>
        <w:t>；请各投标人在投标文件递交截止时间前按须知前附表规定的金额递交至</w:t>
      </w:r>
      <w:r>
        <w:rPr/>
        <w:t>广州中经招标有限公司</w:t>
      </w:r>
      <w:r>
        <w:rPr/>
        <w:t>，到账情况以开标时</w:t>
      </w:r>
      <w:r>
        <w:rPr/>
        <w:t>广州中经招标有限公司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广州中经招标有限公司（http://www.gzbidding.cn/）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广州中经招标有限公司（http://www.gzbidding.cn/）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杨小姐</w:t>
      </w:r>
    </w:p>
    <w:p>
      <w:pPr>
        <w:pStyle w:val="null3"/>
        <w:ind w:firstLine="480"/>
      </w:pPr>
      <w:r>
        <w:rPr/>
        <w:t>电话：</w:t>
      </w:r>
      <w:r>
        <w:rPr/>
        <w:t>020-87385151</w:t>
      </w:r>
    </w:p>
    <w:p>
      <w:pPr>
        <w:pStyle w:val="null3"/>
        <w:ind w:firstLine="480"/>
      </w:pPr>
      <w:r>
        <w:rPr/>
        <w:t>传真：</w:t>
      </w:r>
      <w:r>
        <w:rPr/>
        <w:t>/</w:t>
      </w:r>
    </w:p>
    <w:p>
      <w:pPr>
        <w:pStyle w:val="null3"/>
        <w:ind w:firstLine="480"/>
      </w:pPr>
      <w:r>
        <w:rPr/>
        <w:t>邮箱：</w:t>
      </w:r>
      <w:r>
        <w:rPr/>
        <w:t>gzzjzbyxgs@126.com</w:t>
      </w:r>
    </w:p>
    <w:p>
      <w:pPr>
        <w:pStyle w:val="null3"/>
        <w:ind w:firstLine="480"/>
      </w:pPr>
      <w:r>
        <w:rPr/>
        <w:t>地址：</w:t>
      </w:r>
      <w:r>
        <w:rPr/>
        <w:t>广州市越秀区寺右一马路18号泰恒大厦14楼1409室</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晶圆级高密度激光辅助键合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广州中经招标有限公司</w:t>
      </w:r>
      <w:r>
        <w:rPr/>
        <w:t>统一对外发布。</w:t>
      </w:r>
    </w:p>
    <w:p>
      <w:pPr>
        <w:pStyle w:val="null3"/>
        <w:ind w:firstLine="480"/>
      </w:pPr>
      <w:r>
        <w:rPr/>
        <w:t>（2）对</w:t>
      </w:r>
      <w:r>
        <w:rPr/>
        <w:t>广州中经招标有限公司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对获得节能产品认证证书或环境标志产品认证证书的产品给予3%的价格扣除。（节能产品与环境标志产品不累计扣除）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副本、组织机构代码证、税务登记证（国税、地税）复印件或三证合一证明文件复印件证明。分公司投标的，必须提供总公司的营业执照副本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提供以下任一证明： ①2023年度或2024年度财务报告复印件； ②提供2025年至今任意1个月的财务状况报告复印件； ③银行出具的资信证明材料复印件。</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①提供2025年任意一个月依法缴纳税收的相关证明材料，如依法免税的，应提供相应文件证明其依法免税； ②提供2025年任意一个月依法缴纳社会保险的证明复印件，如依法不需要缴纳社会保障资金的，应提供相应文件证明其依法不需要缴纳社会保障资金。</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特定的资格要求</w:t>
            </w:r>
          </w:p>
        </w:tc>
        <w:tc>
          <w:tcPr>
            <w:tcW w:type="dxa" w:w="4238"/>
          </w:tcPr>
          <w:p>
            <w:pPr>
              <w:pStyle w:val="null3"/>
            </w:pPr>
            <w:r>
              <w:rPr/>
              <w:t>1）单位负责人为同一人或者存在直接控股、管理关系的不同供应商，不得同时参加本采购项目（包组）投标。为本项目提供整体设计、规范编制或者项目管理、监理、检测等服务的供应商，不得再参与本项目投标。（提供投标函） 2）供应商未被列入失信被执行人、重大税收违法失信主体、政府采购严重违法失信行为记录名单及其他不符合规定条件的供应商【以采购代理机构在投标截止日当天在“信用中国”网站（www.creditchina.gov.cn）及中国政府采购网(www.ccgp.gov.cn)查询结果为准，注：若供应商为分支机构的，同时对该分支机构所属总公司（总所）进行信用记录查询，该分支机构所属总公司(总所）存在不良信用记录的，视同供应商存在不良信用记录】。 3）本项目不接受联合体投标。 4）供应商必须符合法律、行政法规规定的其他条件。（提供投标函）。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w:t>
            </w:r>
          </w:p>
        </w:tc>
      </w:tr>
    </w:tbl>
    <w:p>
      <w:pPr>
        <w:pStyle w:val="null3"/>
        <w:ind w:firstLine="480"/>
      </w:pPr>
      <w:r>
        <w:rPr/>
        <w:t>表二符合性审查表：</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7</w:t>
            </w:r>
          </w:p>
        </w:tc>
        <w:tc>
          <w:tcPr>
            <w:tcW w:type="dxa" w:w="3178"/>
          </w:tcPr>
          <w:p>
            <w:pPr>
              <w:pStyle w:val="null3"/>
            </w:pPr>
            <w:r>
              <w:rPr/>
              <w:t>投标保证金</w:t>
            </w:r>
          </w:p>
        </w:tc>
        <w:tc>
          <w:tcPr>
            <w:tcW w:type="dxa" w:w="4238"/>
          </w:tcPr>
          <w:p>
            <w:pPr>
              <w:pStyle w:val="null3"/>
            </w:pPr>
            <w:r>
              <w:rPr/>
              <w:t>投标人按招标文件要求缴纳投标保证金的。</w:t>
            </w:r>
          </w:p>
        </w:tc>
      </w:tr>
      <w:tr>
        <w:tc>
          <w:tcPr>
            <w:tcW w:type="dxa" w:w="890"/>
          </w:tcPr>
          <w:p>
            <w:pPr>
              <w:pStyle w:val="null3"/>
            </w:pPr>
            <w:r>
              <w:rPr/>
              <w:t>8</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采购包1(晶圆级高密度激光辅助键合系统):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 （重要技术参数） (10.0分)</w:t>
            </w:r>
          </w:p>
        </w:tc>
        <w:tc>
          <w:tcPr>
            <w:tcW w:type="dxa" w:w="5076"/>
          </w:tcPr>
          <w:p>
            <w:pPr>
              <w:pStyle w:val="null3"/>
              <w:jc w:val="left"/>
            </w:pPr>
            <w:r>
              <w:rPr/>
              <w:t>根据投标人对招标文件“第二章 采购需求/附表一：晶圆级高密度激光辅助键合系统/具体技术(参数)要求”中重要技术参数（带▲号，共2条）响应进行评审，每满足一条重要技术参数得5分，满分10分。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技术响应 （一般技术参数） (30.0分)</w:t>
            </w:r>
          </w:p>
        </w:tc>
        <w:tc>
          <w:tcPr>
            <w:tcW w:type="dxa" w:w="5076"/>
          </w:tcPr>
          <w:p>
            <w:pPr>
              <w:pStyle w:val="null3"/>
              <w:jc w:val="left"/>
            </w:pPr>
            <w:r>
              <w:rPr/>
              <w:t>根据投标人对招标文件“第二章 采购需求/附表一：晶圆级高密度激光辅助键合系统/具体技术(参数)要求”中一般技术参数（不带★号或▲号，共12条）的响应程度进行评审：每完全满足1条一般技术参数得2.5分，满分30分。 注：如采购需求中有明确要求提供证明材料的，则以采购需求要求的为准；如采购需求中无明确要求证明材料的，须提供具有国家规定资质的第三方检测机构出具的有效的检测报告或投标产品彩页或使用说明书或厂家公开发布的印刷资料作为技术证明文件，未响应或未按要求提供证明材料或提供的证明材料无法证明满足采购需求技术参数要求的，均视为负偏离。</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投标人针对本项目采购需求提供项目实施方案（内容至少包括：①包装方案、②运输方案、③安装调试方案等）： 1、方案内容完整、表达清晰，完全满足采购需求，有针对性，有利于项目实施，得6分； 2、方案内容完整，基本满足采购需求，得4分； 3、方案内容有缺项，不满足采购需求，得2分； 4、无提供得0分。</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投标人针对本项目采购需求提供质量保证方案（内容至少包括：①供货来源、②产品生命周期、③质量管控流程、④备品备件质量保障等）： 1、方案内容完整、表达清晰，完全满足采购需求，有针对性，有利于项目质量保障，得7分； 2、方案内容完整，基本满足采购需求，得4分； 3、方案内容有缺项，不满足采购需求，得1分； 4、无提供得0分。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投标人针对本项目采购需求提供售后服务方案（内容至少包括：①免费保修期、②应急维修时间安排、③免费保修期保修内容承诺及质保期满后的承诺、④保障措施、⑤培训计划及售后人员安排）： 1、方案内容完整、表达清晰，完全满足采购需求，有针对性，得7分； 2、方案内容完整，基本满足采购需求，得4分； 3、方案内容有缺项，不满足采购需求，得1分； 4、无提供得0分。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投标人具有2022年1月1日至今（以合同签订时间为准）的同类项目业绩（含本项目采购标的），每提供一个得1分，最高得5分。 注：需提供合同关键页（含签订合同双方的单位名称、合同项目名称、合同标的、签订合同双方的落款盖章及签订日期）复印件并加盖投标人公章作为同类项目业绩证明资料，不提供不得分。</w:t>
            </w:r>
          </w:p>
        </w:tc>
      </w:tr>
      <w:tr>
        <w:tc>
          <w:tcPr>
            <w:tcW w:type="dxa" w:w="922"/>
            <w:gridSpan w:val="2"/>
            <w:vMerge/>
          </w:tcPr>
          <w:p/>
        </w:tc>
        <w:tc>
          <w:tcPr>
            <w:tcW w:type="dxa" w:w="2307"/>
          </w:tcPr>
          <w:p>
            <w:pPr>
              <w:pStyle w:val="null3"/>
              <w:jc w:val="left"/>
            </w:pPr>
            <w:r>
              <w:rPr/>
              <w:t>用户评价 (2.5分)</w:t>
            </w:r>
          </w:p>
        </w:tc>
        <w:tc>
          <w:tcPr>
            <w:tcW w:type="dxa" w:w="5076"/>
          </w:tcPr>
          <w:p>
            <w:pPr>
              <w:pStyle w:val="null3"/>
              <w:jc w:val="left"/>
            </w:pPr>
            <w:r>
              <w:rPr/>
              <w:t>投标人具有2022年1月1日至今的用户评价材料，每提供一份得0.5分，最高2.5分。 注：1.须提供用户评价材料复印件，评价材料必须达到90分或带有“满意”或“好评”或“优秀”等相关正面评价字眼； 2.评价材料必须与上述有效的同类项目业绩相对应，否则不得分。</w:t>
            </w:r>
          </w:p>
        </w:tc>
      </w:tr>
      <w:tr>
        <w:tc>
          <w:tcPr>
            <w:tcW w:type="dxa" w:w="922"/>
            <w:gridSpan w:val="2"/>
            <w:vMerge/>
          </w:tcPr>
          <w:p/>
        </w:tc>
        <w:tc>
          <w:tcPr>
            <w:tcW w:type="dxa" w:w="2307"/>
          </w:tcPr>
          <w:p>
            <w:pPr>
              <w:pStyle w:val="null3"/>
              <w:jc w:val="left"/>
            </w:pPr>
            <w:r>
              <w:rPr/>
              <w:t>商务响应 (2.5分)</w:t>
            </w:r>
          </w:p>
        </w:tc>
        <w:tc>
          <w:tcPr>
            <w:tcW w:type="dxa" w:w="5076"/>
          </w:tcPr>
          <w:p>
            <w:pPr>
              <w:pStyle w:val="null3"/>
              <w:jc w:val="left"/>
            </w:pPr>
            <w:r>
              <w:rPr/>
              <w:t>根据投标人对本项目采购需求“主要商务要求”中“标的提供的时间、标的提供的地点”（共2项）响应情况进行评审：每满足一项得1.25分，满分2.5分。 注：根据投标人在《商务条件响应表》中的响应情况进行评审。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drawing>
          <wp:inline distT="0" distR="0" distB="0" distL="0">
            <wp:extent cx="876300" cy="4857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876300" cy="485775"/>
                    </a:xfrm>
                    <a:prstGeom prst="rect">
                      <a:avLst/>
                    </a:prstGeom>
                  </pic:spPr>
                </pic:pic>
              </a:graphicData>
            </a:graphic>
          </wp:inline>
        </w:drawing>
      </w:r>
      <w:r>
        <w:rPr>
          <w:sz w:val="48"/>
          <w:b/>
        </w:rPr>
        <w:t xml:space="preserve"> </w:t>
      </w:r>
    </w:p>
    <w:p>
      <w:pPr>
        <w:pStyle w:val="null3"/>
      </w:pPr>
      <w:r>
        <w:rPr/>
        <w:t xml:space="preserve"> </w:t>
      </w:r>
    </w:p>
    <w:p>
      <w:pPr>
        <w:pStyle w:val="null3"/>
        <w:ind w:firstLine="480"/>
        <w:jc w:val="both"/>
      </w:pPr>
      <w:r>
        <w:br/>
      </w:r>
      <w:r>
        <w:rPr>
          <w:sz w:val="44"/>
          <w:b/>
        </w:rPr>
        <w:t>教学科研设备采购合同（国内货物）</w:t>
      </w:r>
    </w:p>
    <w:p>
      <w:pPr>
        <w:pStyle w:val="null3"/>
        <w:spacing w:before="150" w:after="315"/>
        <w:ind w:left="-135"/>
        <w:jc w:val="center"/>
      </w:pPr>
      <w:r>
        <w:rPr>
          <w:sz w:val="21"/>
          <w:b/>
        </w:rPr>
        <w:t>[合同类型：□政府采购；□学校集中采购；□用户部门零散；□科研绿色；□教育部门“小零易购”]</w:t>
      </w:r>
    </w:p>
    <w:p>
      <w:pPr>
        <w:pStyle w:val="null3"/>
        <w:jc w:val="both"/>
      </w:pPr>
      <w:r>
        <w:rPr>
          <w:sz w:val="24"/>
        </w:rPr>
        <w:t>甲方（业主）：广东工业大学</w:t>
      </w:r>
      <w:r>
        <w:rPr>
          <w:sz w:val="21"/>
        </w:rPr>
        <w:t xml:space="preserve">                              </w:t>
      </w:r>
    </w:p>
    <w:p>
      <w:pPr>
        <w:pStyle w:val="null3"/>
        <w:jc w:val="both"/>
      </w:pPr>
      <w:r>
        <w:rPr>
          <w:sz w:val="24"/>
        </w:rPr>
        <w:t>乙方（中标人）：</w:t>
      </w:r>
      <w:r>
        <w:rPr>
          <w:sz w:val="21"/>
          <w:u w:val="single"/>
        </w:rPr>
        <w:t>****</w:t>
      </w:r>
      <w:r>
        <w:rPr>
          <w:sz w:val="24"/>
        </w:rPr>
        <w:t>公司</w:t>
      </w:r>
      <w:r>
        <w:rPr>
          <w:sz w:val="21"/>
        </w:rPr>
        <w:t xml:space="preserve">                       </w:t>
      </w:r>
    </w:p>
    <w:p>
      <w:pPr>
        <w:pStyle w:val="null3"/>
        <w:jc w:val="both"/>
      </w:pPr>
      <w:r>
        <w:rPr>
          <w:sz w:val="24"/>
        </w:rPr>
        <w:t>签订地点：广州市番禺区</w:t>
      </w:r>
    </w:p>
    <w:p>
      <w:pPr>
        <w:pStyle w:val="null3"/>
        <w:ind w:firstLine="420"/>
        <w:jc w:val="both"/>
      </w:pPr>
      <w:r>
        <w:rPr>
          <w:sz w:val="21"/>
        </w:rPr>
        <w:t>根据</w:t>
      </w:r>
      <w:r>
        <w:rPr>
          <w:sz w:val="21"/>
          <w:u w:val="single"/>
        </w:rPr>
        <w:t>****招标/采购机构</w:t>
      </w:r>
      <w:r>
        <w:rPr>
          <w:sz w:val="21"/>
        </w:rPr>
        <w:t>的</w:t>
      </w:r>
      <w:r>
        <w:rPr>
          <w:sz w:val="21"/>
          <w:u w:val="single"/>
        </w:rPr>
        <w:t>****</w:t>
      </w:r>
      <w:r>
        <w:rPr>
          <w:sz w:val="21"/>
        </w:rPr>
        <w:t>项目的招标</w:t>
      </w:r>
      <w:r>
        <w:rPr>
          <w:sz w:val="21"/>
        </w:rPr>
        <w:t>/采购文件[编号</w:t>
      </w:r>
      <w:r>
        <w:rPr>
          <w:sz w:val="21"/>
          <w:u w:val="single"/>
        </w:rPr>
        <w:t>****</w:t>
      </w:r>
      <w:r>
        <w:rPr>
          <w:sz w:val="21"/>
        </w:rPr>
        <w:t>]、乙方针对该项目的投标/响应文件及</w:t>
      </w:r>
      <w:r>
        <w:rPr>
          <w:sz w:val="21"/>
          <w:u w:val="single"/>
        </w:rPr>
        <w:t>20</w:t>
      </w:r>
      <w:r>
        <w:rPr>
          <w:sz w:val="21"/>
          <w:u w:val="single"/>
        </w:rPr>
        <w:t>**年**月**日</w:t>
      </w:r>
      <w:r>
        <w:rPr>
          <w:sz w:val="21"/>
        </w:rPr>
        <w:t>的中标</w:t>
      </w:r>
      <w:r>
        <w:rPr>
          <w:sz w:val="21"/>
        </w:rPr>
        <w:t>/成交结果通知书，按照中华人民共和国[☑</w:t>
      </w:r>
      <w:r>
        <w:rPr>
          <w:sz w:val="21"/>
        </w:rPr>
        <w:t>《民法典》；</w:t>
      </w:r>
      <w:r>
        <w:rPr>
          <w:sz w:val="24"/>
          <w:b/>
        </w:rPr>
        <w:t>□</w:t>
      </w:r>
      <w:r>
        <w:rPr>
          <w:sz w:val="21"/>
        </w:rPr>
        <w:t>《政府采购法》</w:t>
      </w:r>
      <w:r>
        <w:rPr>
          <w:sz w:val="21"/>
        </w:rPr>
        <w:t>]的规定，本着平等互利和诚实信用的原则，</w:t>
      </w:r>
      <w:r>
        <w:rPr>
          <w:sz w:val="21"/>
        </w:rPr>
        <w:t>一致同意签订本合同</w:t>
      </w:r>
      <w:r>
        <w:rPr>
          <w:sz w:val="21"/>
        </w:rPr>
        <w:t>。</w:t>
      </w:r>
    </w:p>
    <w:p>
      <w:pPr>
        <w:pStyle w:val="null3"/>
        <w:spacing w:before="150"/>
        <w:jc w:val="both"/>
      </w:pPr>
      <w:r>
        <w:rPr>
          <w:sz w:val="28"/>
          <w:b/>
        </w:rPr>
        <w:t>一、货物</w:t>
      </w:r>
      <w:r>
        <w:rPr>
          <w:sz w:val="28"/>
          <w:b/>
        </w:rPr>
        <w:t>及价格</w:t>
      </w:r>
      <w:r>
        <w:rPr>
          <w:sz w:val="28"/>
          <w:b/>
        </w:rPr>
        <w:t>(详细配置清单及技术指标见附件)</w:t>
      </w:r>
    </w:p>
    <w:tbl>
      <w:tblPr>
        <w:tblW w:w="0" w:type="auto"/>
        <w:tblBorders>
          <w:top w:val="none" w:color="000000" w:sz="4"/>
          <w:left w:val="none" w:color="000000" w:sz="4"/>
          <w:bottom w:val="none" w:color="000000" w:sz="4"/>
          <w:right w:val="none" w:color="000000" w:sz="4"/>
          <w:insideH w:val="none"/>
          <w:insideV w:val="none"/>
        </w:tblBorders>
      </w:tblPr>
      <w:tblGrid>
        <w:gridCol w:w="562"/>
        <w:gridCol w:w="1513"/>
        <w:gridCol w:w="1463"/>
        <w:gridCol w:w="1350"/>
        <w:gridCol w:w="550"/>
        <w:gridCol w:w="550"/>
        <w:gridCol w:w="1088"/>
        <w:gridCol w:w="1200"/>
      </w:tblGrid>
      <w:tr>
        <w:tc>
          <w:tcPr>
            <w:tcW w:type="dxa" w:w="562"/>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1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463"/>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r>
              <w:rPr>
                <w:sz w:val="21"/>
                <w:b/>
              </w:rPr>
              <w:t>/规格</w:t>
            </w:r>
          </w:p>
        </w:tc>
        <w:tc>
          <w:tcPr>
            <w:tcW w:type="dxa" w:w="13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r>
              <w:rPr>
                <w:sz w:val="21"/>
                <w:b/>
              </w:rPr>
              <w:t>/产地</w:t>
            </w:r>
          </w:p>
        </w:tc>
        <w:tc>
          <w:tcPr>
            <w:tcW w:type="dxa" w:w="5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50"/>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088"/>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r>
              <w:rPr>
                <w:sz w:val="21"/>
                <w:b/>
              </w:rPr>
              <w:t>(元)</w:t>
            </w:r>
          </w:p>
        </w:tc>
        <w:tc>
          <w:tcPr>
            <w:tcW w:type="dxa" w:w="1200"/>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b/>
              </w:rPr>
              <w:t>总价</w:t>
            </w:r>
            <w:r>
              <w:rPr>
                <w:sz w:val="21"/>
                <w:b/>
              </w:rPr>
              <w:t>(元)</w:t>
            </w:r>
          </w:p>
        </w:tc>
      </w:tr>
      <w:tr>
        <w:tc>
          <w:tcPr>
            <w:tcW w:type="dxa" w:w="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w:t>
            </w:r>
          </w:p>
        </w:tc>
      </w:tr>
      <w:tr>
        <w:tc>
          <w:tcPr>
            <w:tcW w:type="dxa" w:w="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0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tc>
      </w:tr>
      <w:tr>
        <w:tc>
          <w:tcPr>
            <w:tcW w:type="dxa" w:w="8276"/>
            <w:gridSpan w:val="8"/>
            <w:tcBorders>
              <w:top w:val="none" w:color="000000" w:sz="4"/>
              <w:left w:val="double" w:color="000000" w:sz="4"/>
              <w:bottom w:val="double" w:color="000000" w:sz="4"/>
              <w:right w:val="double" w:color="000000" w:sz="4"/>
            </w:tcBorders>
            <w:tcMar>
              <w:top w:type="dxa" w:w="0"/>
              <w:left w:type="dxa" w:w="105"/>
              <w:bottom w:type="dxa" w:w="0"/>
              <w:right w:type="dxa" w:w="105"/>
            </w:tcMar>
            <w:vAlign w:val="top"/>
          </w:tcPr>
          <w:p>
            <w:pPr>
              <w:pStyle w:val="null3"/>
              <w:jc w:val="left"/>
            </w:pPr>
            <w:r>
              <w:rPr>
                <w:sz w:val="21"/>
                <w:b/>
              </w:rPr>
              <w:t>总金额（人民币）：</w:t>
            </w:r>
            <w:r>
              <w:rPr>
                <w:sz w:val="21"/>
                <w:b/>
              </w:rPr>
              <w:t xml:space="preserve">  </w:t>
            </w:r>
            <w:r>
              <w:rPr>
                <w:sz w:val="21"/>
                <w:b/>
              </w:rPr>
              <w:t>*仟*佰*拾*万*仟*佰*拾*元整（</w:t>
            </w:r>
            <w:r>
              <w:rPr>
                <w:sz w:val="21"/>
                <w:b/>
              </w:rPr>
              <w:t>¥</w:t>
            </w:r>
            <w:r>
              <w:rPr>
                <w:sz w:val="21"/>
                <w:b/>
              </w:rPr>
              <w:t>**,***,***.**）</w:t>
            </w:r>
          </w:p>
        </w:tc>
      </w:tr>
    </w:tbl>
    <w:p>
      <w:pPr>
        <w:pStyle w:val="null3"/>
        <w:ind w:firstLine="420"/>
        <w:jc w:val="both"/>
      </w:pPr>
      <w:r>
        <w:rPr>
          <w:sz w:val="21"/>
        </w:rPr>
        <w:t>上述合同总金额为完成项目的全包价，包括但不限于购买货物、保险运输、装卸进场、安装调试、产品检测、产品验收、培训验收、售后服务、设备所带软件系统的永久使用许可等费用、各项税费及合同实施过程中不可预见费用等。除合同明确约定的费用外，甲方无需支付任何额外费用和承担任何额外义务。</w:t>
      </w:r>
    </w:p>
    <w:p>
      <w:pPr>
        <w:pStyle w:val="null3"/>
        <w:spacing w:before="150"/>
        <w:jc w:val="both"/>
      </w:pPr>
      <w:r>
        <w:rPr>
          <w:sz w:val="28"/>
          <w:b/>
        </w:rPr>
        <w:t>二、货物</w:t>
      </w:r>
      <w:r>
        <w:rPr>
          <w:sz w:val="28"/>
          <w:b/>
        </w:rPr>
        <w:t>质量要求</w:t>
      </w:r>
    </w:p>
    <w:p>
      <w:pPr>
        <w:pStyle w:val="null3"/>
        <w:ind w:firstLine="420"/>
        <w:jc w:val="both"/>
      </w:pPr>
      <w:r>
        <w:rPr>
          <w:sz w:val="21"/>
        </w:rPr>
        <w:t>1.乙方提供的货物必须符合中华人民共和国国家标准、行业标准、地方标准、货物生产商的产品质量标准、有关部门制定的相关技术规范、符合产品说明书表明的质量状况和使用性能、国家规定的安全和环保要求（该等标准不一致的，以较高为准）</w:t>
      </w:r>
      <w:r>
        <w:rPr>
          <w:sz w:val="21"/>
        </w:rPr>
        <w:t>。</w:t>
      </w:r>
    </w:p>
    <w:p>
      <w:pPr>
        <w:pStyle w:val="null3"/>
        <w:ind w:firstLine="420"/>
        <w:jc w:val="both"/>
      </w:pPr>
      <w:r>
        <w:rPr>
          <w:sz w:val="21"/>
        </w:rPr>
        <w:t>2.乙方提供的货物必须是原厂原装全新正版产品（含零部件、配件、随机工具等），包装外观完好、表面无划伤无破损、附件齐全，整机无污染、无任何缺陷隐患，序列号、包装箱号与出厂批号一致，并可追索查阅。如果货物涉及进口产品，乙方必须通过合法途径从原产国或原产地原厂进口，并向甲方提供完整、合法、有效的海关报关材料以及进口证明文件，中国</w:t>
      </w:r>
      <w:r>
        <w:rPr>
          <w:sz w:val="21"/>
        </w:rPr>
        <w:t>国内货物</w:t>
      </w:r>
      <w:r>
        <w:rPr>
          <w:sz w:val="21"/>
        </w:rPr>
        <w:t>则</w:t>
      </w:r>
      <w:r>
        <w:rPr>
          <w:sz w:val="21"/>
        </w:rPr>
        <w:t>必须具备出厂合格证</w:t>
      </w:r>
      <w:r>
        <w:rPr>
          <w:sz w:val="21"/>
        </w:rPr>
        <w:t>，所有货物</w:t>
      </w:r>
      <w:r>
        <w:rPr>
          <w:sz w:val="21"/>
        </w:rPr>
        <w:t>在中国境内可依常规安全合法使用。</w:t>
      </w:r>
    </w:p>
    <w:p>
      <w:pPr>
        <w:pStyle w:val="null3"/>
        <w:ind w:firstLine="420"/>
        <w:jc w:val="both"/>
      </w:pPr>
      <w:r>
        <w:rPr>
          <w:sz w:val="21"/>
        </w:rPr>
        <w:t>3.乙方对提供的货物提供</w:t>
      </w:r>
      <w:r>
        <w:rPr>
          <w:sz w:val="21"/>
          <w:u w:val="single"/>
        </w:rPr>
        <w:t>****</w:t>
      </w:r>
      <w:r>
        <w:rPr>
          <w:sz w:val="21"/>
        </w:rPr>
        <w:t>年的质量保证期。货物在质量保证期内被证明有缺陷，包括内在缺陷或使用不适当原材料，或者货物在维保期内维修超过</w:t>
      </w:r>
      <w:r>
        <w:rPr>
          <w:sz w:val="21"/>
        </w:rPr>
        <w:t>3次，仍达不到合同要求，乙方应予退换货。</w:t>
      </w:r>
    </w:p>
    <w:p>
      <w:pPr>
        <w:pStyle w:val="null3"/>
        <w:ind w:firstLine="420"/>
        <w:jc w:val="both"/>
      </w:pPr>
      <w:r>
        <w:rPr>
          <w:sz w:val="21"/>
        </w:rPr>
        <w:t>4.乙方保证提供货物安全，包括技术和质量安全，非因甲方人员原因，货物造成的人身、财产损害，由乙方承担全部责任。</w:t>
      </w:r>
    </w:p>
    <w:p>
      <w:pPr>
        <w:pStyle w:val="null3"/>
        <w:spacing w:before="150"/>
        <w:jc w:val="both"/>
      </w:pPr>
      <w:r>
        <w:rPr>
          <w:sz w:val="28"/>
          <w:b/>
        </w:rPr>
        <w:t>三、交货期及交货地点</w:t>
      </w:r>
    </w:p>
    <w:p>
      <w:pPr>
        <w:pStyle w:val="null3"/>
        <w:ind w:firstLine="420"/>
        <w:jc w:val="both"/>
      </w:pPr>
      <w:r>
        <w:rPr>
          <w:sz w:val="21"/>
        </w:rPr>
        <w:t>1.交货时间：</w:t>
      </w:r>
      <w:r>
        <w:rPr>
          <w:sz w:val="21"/>
        </w:rPr>
        <w:t>合同生效</w:t>
      </w:r>
      <w:r>
        <w:rPr>
          <w:sz w:val="21"/>
          <w:u w:val="single"/>
        </w:rPr>
        <w:t>****</w:t>
      </w:r>
      <w:r>
        <w:rPr>
          <w:sz w:val="21"/>
        </w:rPr>
        <w:t>天内乙方完成货物</w:t>
      </w:r>
      <w:r>
        <w:rPr>
          <w:sz w:val="21"/>
        </w:rPr>
        <w:t>安装调试并交付使用。</w:t>
      </w:r>
    </w:p>
    <w:p>
      <w:pPr>
        <w:pStyle w:val="null3"/>
        <w:ind w:firstLine="420"/>
        <w:jc w:val="both"/>
      </w:pPr>
      <w:r>
        <w:rPr>
          <w:sz w:val="21"/>
        </w:rPr>
        <w:t>2.交货地点：甲方</w:t>
      </w:r>
      <w:r>
        <w:rPr>
          <w:sz w:val="21"/>
          <w:u w:val="single"/>
        </w:rPr>
        <w:t>****</w:t>
      </w:r>
      <w:r>
        <w:rPr>
          <w:sz w:val="21"/>
        </w:rPr>
        <w:t>校区</w:t>
      </w:r>
      <w:r>
        <w:rPr>
          <w:sz w:val="21"/>
          <w:u w:val="single"/>
        </w:rPr>
        <w:t>****</w:t>
      </w:r>
      <w:r>
        <w:rPr>
          <w:sz w:val="21"/>
        </w:rPr>
        <w:t>学院指定地点</w:t>
      </w:r>
      <w:r>
        <w:rPr>
          <w:sz w:val="24"/>
        </w:rPr>
        <w:t>。</w:t>
      </w:r>
    </w:p>
    <w:p>
      <w:pPr>
        <w:pStyle w:val="null3"/>
        <w:spacing w:before="150"/>
        <w:jc w:val="both"/>
      </w:pPr>
      <w:r>
        <w:rPr>
          <w:sz w:val="28"/>
          <w:b/>
        </w:rPr>
        <w:t>四、到货检验、</w:t>
      </w:r>
      <w:r>
        <w:rPr>
          <w:sz w:val="28"/>
          <w:b/>
        </w:rPr>
        <w:t>安装调试</w:t>
      </w:r>
    </w:p>
    <w:p>
      <w:pPr>
        <w:pStyle w:val="null3"/>
        <w:ind w:firstLine="420"/>
        <w:jc w:val="both"/>
      </w:pPr>
      <w:r>
        <w:rPr>
          <w:sz w:val="21"/>
        </w:rPr>
        <w:t>1.</w:t>
      </w:r>
      <w:r>
        <w:rPr>
          <w:sz w:val="21"/>
        </w:rPr>
        <w:t>货物送到甲方指定地点后，甲乙双方代表同时在场时才能开箱检验。</w:t>
      </w:r>
    </w:p>
    <w:p>
      <w:pPr>
        <w:pStyle w:val="null3"/>
        <w:ind w:firstLine="420"/>
        <w:jc w:val="both"/>
      </w:pPr>
      <w:r>
        <w:rPr>
          <w:sz w:val="21"/>
        </w:rPr>
        <w:t>2.甲乙双方</w:t>
      </w:r>
      <w:r>
        <w:rPr>
          <w:sz w:val="21"/>
        </w:rPr>
        <w:t>就货物进行</w:t>
      </w:r>
      <w:r>
        <w:rPr>
          <w:sz w:val="21"/>
        </w:rPr>
        <w:t>的</w:t>
      </w:r>
      <w:r>
        <w:rPr>
          <w:sz w:val="21"/>
        </w:rPr>
        <w:t>检验包括</w:t>
      </w:r>
      <w:r>
        <w:rPr>
          <w:sz w:val="21"/>
        </w:rPr>
        <w:t>但不限于名称、品牌、规格、型号、产地、数量外在可视参数。</w:t>
      </w:r>
    </w:p>
    <w:p>
      <w:pPr>
        <w:pStyle w:val="null3"/>
        <w:ind w:firstLine="420"/>
        <w:jc w:val="both"/>
      </w:pPr>
      <w:r>
        <w:rPr>
          <w:sz w:val="21"/>
        </w:rPr>
        <w:t>3.</w:t>
      </w:r>
      <w:r>
        <w:rPr>
          <w:sz w:val="21"/>
        </w:rPr>
        <w:t>除非甲方另有通知，乙方应按照合同的要求以及合同执行计划的时间安排，派出足够的人员进行现场安装和调试工作</w:t>
      </w:r>
      <w:r>
        <w:rPr>
          <w:sz w:val="21"/>
        </w:rPr>
        <w:t>，并承担货物安装调试过程所产生的一切费用和责任直至验收合格。</w:t>
      </w:r>
    </w:p>
    <w:p>
      <w:pPr>
        <w:pStyle w:val="null3"/>
        <w:ind w:firstLine="412"/>
        <w:jc w:val="both"/>
      </w:pPr>
      <w:r>
        <w:rPr>
          <w:sz w:val="21"/>
        </w:rPr>
        <w:t>4.乙方必须依照招标文件的要求和报价文件的承诺，将货物安装并调试至正常运行的最佳状态。</w:t>
      </w:r>
    </w:p>
    <w:p>
      <w:pPr>
        <w:pStyle w:val="null3"/>
        <w:ind w:firstLine="420"/>
        <w:jc w:val="both"/>
      </w:pPr>
      <w:r>
        <w:rPr>
          <w:sz w:val="21"/>
        </w:rPr>
        <w:t>5.软件类产品</w:t>
      </w:r>
      <w:r>
        <w:rPr>
          <w:sz w:val="21"/>
        </w:rPr>
        <w:t>乙方还应提供软件现场或远程安装，包括软件服务器端安装、客户端安装和软件</w:t>
      </w:r>
      <w:r>
        <w:rPr>
          <w:sz w:val="21"/>
        </w:rPr>
        <w:t>license</w:t>
      </w:r>
      <w:r>
        <w:rPr>
          <w:sz w:val="21"/>
        </w:rPr>
        <w:t>的安装；在服务器端安装时乙方应主动寻求服务器供应商的工程师配合</w:t>
      </w:r>
      <w:r>
        <w:rPr>
          <w:sz w:val="21"/>
        </w:rPr>
        <w:t>。</w:t>
      </w:r>
    </w:p>
    <w:p>
      <w:pPr>
        <w:pStyle w:val="null3"/>
        <w:spacing w:before="150"/>
        <w:jc w:val="both"/>
      </w:pPr>
      <w:r>
        <w:rPr>
          <w:sz w:val="28"/>
          <w:b/>
        </w:rPr>
        <w:t>五、验收</w:t>
      </w:r>
    </w:p>
    <w:p>
      <w:pPr>
        <w:pStyle w:val="null3"/>
        <w:ind w:firstLine="420"/>
        <w:jc w:val="both"/>
      </w:pPr>
      <w:r>
        <w:rPr>
          <w:sz w:val="21"/>
        </w:rPr>
        <w:t>1.交付验收标准为：按</w:t>
      </w:r>
      <w:r>
        <w:rPr>
          <w:sz w:val="21"/>
        </w:rPr>
        <w:t>本合同</w:t>
      </w:r>
      <w:r>
        <w:rPr>
          <w:sz w:val="21"/>
        </w:rPr>
        <w:t>约定的货物及价格、详细配置清单及</w:t>
      </w:r>
      <w:r>
        <w:rPr>
          <w:sz w:val="21"/>
        </w:rPr>
        <w:t>技术</w:t>
      </w:r>
      <w:r>
        <w:rPr>
          <w:sz w:val="21"/>
        </w:rPr>
        <w:t>指标、符合采购文件和响应承诺中甲方认可的合理最佳配置、参数及各项要求、国家相关标准和行业规范进行验收</w:t>
      </w:r>
      <w:r>
        <w:rPr>
          <w:sz w:val="21"/>
        </w:rPr>
        <w:t>（该等标准不一致的，以较高为准）</w:t>
      </w:r>
      <w:r>
        <w:rPr>
          <w:sz w:val="21"/>
        </w:rPr>
        <w:t>。</w:t>
      </w:r>
    </w:p>
    <w:p>
      <w:pPr>
        <w:pStyle w:val="null3"/>
        <w:ind w:firstLine="420"/>
        <w:jc w:val="both"/>
      </w:pPr>
      <w:r>
        <w:rPr>
          <w:sz w:val="21"/>
        </w:rPr>
        <w:t>2.验收流程按甲方规章制度执行，由甲方组成验收小组（含乙方人员）按国家有关规定、规范进行验收，必要时甲方可邀请相关的专业人员或机构参与验收，验收时，甲乙双方必须同时在场，验收完毕后做出验收结果报告。</w:t>
      </w:r>
    </w:p>
    <w:p>
      <w:pPr>
        <w:pStyle w:val="null3"/>
        <w:ind w:firstLine="420"/>
        <w:jc w:val="both"/>
      </w:pPr>
      <w:r>
        <w:rPr>
          <w:sz w:val="21"/>
        </w:rPr>
        <w:t>3.货物安装调试完毕且正常运行后，乙方应向甲方提出书面验收申请，准备并向甲方提交验收文件，本</w:t>
      </w:r>
      <w:r>
        <w:rPr>
          <w:sz w:val="21"/>
        </w:rPr>
        <w:t>合同</w:t>
      </w:r>
      <w:r>
        <w:rPr>
          <w:sz w:val="21"/>
        </w:rPr>
        <w:t>项下的全部</w:t>
      </w:r>
      <w:r>
        <w:rPr>
          <w:sz w:val="21"/>
        </w:rPr>
        <w:t>货物</w:t>
      </w:r>
      <w:r>
        <w:rPr>
          <w:sz w:val="21"/>
        </w:rPr>
        <w:t>按甲方验收流程验收通过，经甲乙双方签署验收合格证明后，视为验收合格。</w:t>
      </w:r>
    </w:p>
    <w:p>
      <w:pPr>
        <w:pStyle w:val="null3"/>
        <w:ind w:firstLine="420"/>
        <w:jc w:val="both"/>
      </w:pPr>
      <w:r>
        <w:rPr>
          <w:sz w:val="21"/>
        </w:rPr>
        <w:t>4.验收合格后，乙方应将货物的用户手册、保修手册、有关单证资料及配备件、随机工具等交付给甲方，使用操作及安全须知等重要资料应附有中文说明。前述资料物品交付完毕当日，视为合同货物完成交付。</w:t>
      </w:r>
    </w:p>
    <w:p>
      <w:pPr>
        <w:pStyle w:val="null3"/>
        <w:ind w:firstLine="420"/>
        <w:jc w:val="both"/>
      </w:pPr>
      <w:r>
        <w:rPr>
          <w:sz w:val="21"/>
        </w:rPr>
        <w:t>5.乙方交货前应对产品做出全面检查和对验收文件进行整理，并列出清单，作为甲方收货验收和使用的技术条件依据，检验的结果应随货交甲方。</w:t>
      </w:r>
    </w:p>
    <w:p>
      <w:pPr>
        <w:pStyle w:val="null3"/>
        <w:ind w:firstLine="420"/>
        <w:jc w:val="both"/>
      </w:pPr>
      <w:r>
        <w:rPr>
          <w:sz w:val="21"/>
        </w:rPr>
        <w:t>6.</w:t>
      </w:r>
      <w:r>
        <w:rPr>
          <w:sz w:val="21"/>
        </w:rPr>
        <w:t>甲方收货验收并不免除乙方对合同产品质量应当承担的责任，如果甲方在使用或含有合同产品的产品时发现因合同产品在设计、安装、制造、材料、工艺等方面的缺陷导致的任何质量问题，乙方仍应承担责任</w:t>
      </w:r>
      <w:r>
        <w:rPr>
          <w:sz w:val="21"/>
        </w:rPr>
        <w:t>；</w:t>
      </w:r>
      <w:r>
        <w:rPr>
          <w:sz w:val="21"/>
        </w:rPr>
        <w:t>或者发现乙方交付的货物实际系假冒产品，乙方仍应承担全部法律责任。</w:t>
      </w:r>
      <w:r>
        <w:rPr>
          <w:sz w:val="21"/>
        </w:rPr>
        <w:t xml:space="preserve">  </w:t>
      </w:r>
    </w:p>
    <w:p>
      <w:pPr>
        <w:pStyle w:val="null3"/>
        <w:ind w:firstLine="420"/>
        <w:jc w:val="both"/>
      </w:pPr>
      <w:r>
        <w:rPr>
          <w:sz w:val="21"/>
        </w:rPr>
        <w:t>7.</w:t>
      </w:r>
      <w:r>
        <w:rPr>
          <w:sz w:val="21"/>
        </w:rPr>
        <w:t>如本合同所采购的产品因其自身特点导致甲方无法在验收当时发现其质量问题、设计、安装、制造、材料、工艺等缺陷，则甲方应享有合理的适用或测试使用期间，如在该期间内发现上述产品问题，则乙方应无条件为甲方提供换货或退货处理，在此种情况下乙方无权以甲方已签收作为已交付合格产品的抗辩。</w:t>
      </w:r>
    </w:p>
    <w:p>
      <w:pPr>
        <w:pStyle w:val="null3"/>
        <w:ind w:firstLine="420"/>
        <w:jc w:val="both"/>
      </w:pPr>
      <w:r>
        <w:rPr>
          <w:sz w:val="21"/>
        </w:rPr>
        <w:t>8.因本合同产品质量存在缺陷造成人身、财产损害或者给甲方造成不良影响的，甲方有权要求乙方单独承担赔偿责任，乙方不得以非实际责任人进行抗辩，但乙方有权在赔偿后向生产者或其他实际责任人追偿。</w:t>
      </w:r>
    </w:p>
    <w:p>
      <w:pPr>
        <w:pStyle w:val="null3"/>
        <w:spacing w:before="150"/>
        <w:jc w:val="both"/>
      </w:pPr>
      <w:r>
        <w:rPr>
          <w:sz w:val="28"/>
          <w:b/>
        </w:rPr>
        <w:t>六、付款</w:t>
      </w:r>
    </w:p>
    <w:p>
      <w:pPr>
        <w:pStyle w:val="null3"/>
        <w:ind w:firstLine="420"/>
        <w:jc w:val="both"/>
      </w:pPr>
      <w:r>
        <w:rPr>
          <w:sz w:val="21"/>
        </w:rPr>
        <w:t>乙方</w:t>
      </w:r>
      <w:r>
        <w:rPr>
          <w:sz w:val="21"/>
        </w:rPr>
        <w:t>履约、货物安装调试完毕，</w:t>
      </w:r>
      <w:r>
        <w:rPr>
          <w:sz w:val="21"/>
        </w:rPr>
        <w:t>甲方</w:t>
      </w:r>
      <w:r>
        <w:rPr>
          <w:sz w:val="21"/>
        </w:rPr>
        <w:t>收到</w:t>
      </w:r>
      <w:r>
        <w:rPr>
          <w:sz w:val="21"/>
        </w:rPr>
        <w:t>乙方</w:t>
      </w:r>
      <w:r>
        <w:rPr>
          <w:sz w:val="21"/>
        </w:rPr>
        <w:t>验收申请后</w:t>
      </w:r>
      <w:r>
        <w:rPr>
          <w:sz w:val="21"/>
        </w:rPr>
        <w:t>7 日内组织履约验收，经</w:t>
      </w:r>
      <w:r>
        <w:rPr>
          <w:sz w:val="21"/>
        </w:rPr>
        <w:t>甲乙</w:t>
      </w:r>
      <w:r>
        <w:rPr>
          <w:sz w:val="21"/>
        </w:rPr>
        <w:t>双方对货物进行验收合格并完成交付后，</w:t>
      </w:r>
      <w:r>
        <w:rPr>
          <w:sz w:val="21"/>
        </w:rPr>
        <w:t>乙方</w:t>
      </w:r>
      <w:r>
        <w:rPr>
          <w:sz w:val="21"/>
        </w:rPr>
        <w:t>开具全额增值税专用发票给</w:t>
      </w:r>
      <w:r>
        <w:rPr>
          <w:sz w:val="21"/>
        </w:rPr>
        <w:t>甲方</w:t>
      </w:r>
      <w:r>
        <w:rPr>
          <w:sz w:val="21"/>
        </w:rPr>
        <w:t>作为报账凭证，</w:t>
      </w:r>
      <w:r>
        <w:rPr>
          <w:sz w:val="21"/>
        </w:rPr>
        <w:t>甲方</w:t>
      </w:r>
      <w:r>
        <w:rPr>
          <w:sz w:val="21"/>
        </w:rPr>
        <w:t>自收到发票后</w:t>
      </w:r>
      <w:r>
        <w:rPr>
          <w:sz w:val="21"/>
        </w:rPr>
        <w:t>10个工作日内按其规章制度办理支付手续向</w:t>
      </w:r>
      <w:r>
        <w:rPr>
          <w:sz w:val="21"/>
        </w:rPr>
        <w:t>乙方</w:t>
      </w:r>
      <w:r>
        <w:rPr>
          <w:sz w:val="21"/>
        </w:rPr>
        <w:t>支付全部合同货款。</w:t>
      </w:r>
    </w:p>
    <w:p>
      <w:pPr>
        <w:pStyle w:val="null3"/>
        <w:ind w:firstLine="420"/>
        <w:jc w:val="both"/>
      </w:pPr>
      <w:r>
        <w:rPr>
          <w:sz w:val="21"/>
        </w:rPr>
        <w:t>若</w:t>
      </w:r>
      <w:r>
        <w:rPr>
          <w:sz w:val="21"/>
        </w:rPr>
        <w:t>乙方</w:t>
      </w:r>
      <w:r>
        <w:rPr>
          <w:sz w:val="21"/>
        </w:rPr>
        <w:t>为中小企业，本项目货款分两期支付：第</w:t>
      </w:r>
      <w:r>
        <w:rPr>
          <w:sz w:val="21"/>
        </w:rPr>
        <w:t>1期为(预付款)：支付比例30%，合同生效后5个工作日内，</w:t>
      </w:r>
      <w:r>
        <w:rPr>
          <w:sz w:val="21"/>
        </w:rPr>
        <w:t>甲方</w:t>
      </w:r>
      <w:r>
        <w:rPr>
          <w:sz w:val="21"/>
        </w:rPr>
        <w:t>收到</w:t>
      </w:r>
      <w:r>
        <w:rPr>
          <w:sz w:val="21"/>
        </w:rPr>
        <w:t>乙方</w:t>
      </w:r>
      <w:r>
        <w:rPr>
          <w:sz w:val="21"/>
        </w:rPr>
        <w:t>开具的增值税专用发票后向</w:t>
      </w:r>
      <w:r>
        <w:rPr>
          <w:sz w:val="21"/>
        </w:rPr>
        <w:t>乙方</w:t>
      </w:r>
      <w:r>
        <w:rPr>
          <w:sz w:val="21"/>
        </w:rPr>
        <w:t>支付</w:t>
      </w:r>
      <w:r>
        <w:rPr>
          <w:sz w:val="21"/>
        </w:rPr>
        <w:t>30%的合同货款作为预付款。第2期为(尾款)：支付比例70%，货物安装调试完毕，经</w:t>
      </w:r>
      <w:r>
        <w:rPr>
          <w:sz w:val="21"/>
        </w:rPr>
        <w:t>甲乙</w:t>
      </w:r>
      <w:r>
        <w:rPr>
          <w:sz w:val="21"/>
        </w:rPr>
        <w:t>双方对货物进行验收合格并完成交付后，</w:t>
      </w:r>
      <w:r>
        <w:rPr>
          <w:sz w:val="21"/>
        </w:rPr>
        <w:t>乙方</w:t>
      </w:r>
      <w:r>
        <w:rPr>
          <w:sz w:val="21"/>
        </w:rPr>
        <w:t>开具增值税专用发票给</w:t>
      </w:r>
      <w:r>
        <w:rPr>
          <w:sz w:val="21"/>
        </w:rPr>
        <w:t>甲方</w:t>
      </w:r>
      <w:r>
        <w:rPr>
          <w:sz w:val="21"/>
        </w:rPr>
        <w:t>作为报账凭证。收到报账凭证后</w:t>
      </w:r>
      <w:r>
        <w:rPr>
          <w:sz w:val="21"/>
        </w:rPr>
        <w:t>10个工作日内，</w:t>
      </w:r>
      <w:r>
        <w:rPr>
          <w:sz w:val="21"/>
        </w:rPr>
        <w:t>甲方</w:t>
      </w:r>
      <w:r>
        <w:rPr>
          <w:sz w:val="21"/>
        </w:rPr>
        <w:t>按其规章制度办理支付手续向</w:t>
      </w:r>
      <w:r>
        <w:rPr>
          <w:sz w:val="21"/>
        </w:rPr>
        <w:t>乙方</w:t>
      </w:r>
      <w:r>
        <w:rPr>
          <w:sz w:val="21"/>
        </w:rPr>
        <w:t>支付剩余</w:t>
      </w:r>
      <w:r>
        <w:rPr>
          <w:sz w:val="21"/>
        </w:rPr>
        <w:t>70%的合同货款。</w:t>
      </w:r>
    </w:p>
    <w:p>
      <w:pPr>
        <w:pStyle w:val="null3"/>
        <w:jc w:val="both"/>
      </w:pPr>
      <w:r>
        <w:rPr>
          <w:sz w:val="28"/>
          <w:b/>
        </w:rPr>
        <w:t>七、培训及售后服务</w:t>
      </w:r>
    </w:p>
    <w:p>
      <w:pPr>
        <w:pStyle w:val="null3"/>
        <w:ind w:firstLine="420"/>
        <w:jc w:val="both"/>
      </w:pPr>
      <w:r>
        <w:rPr>
          <w:sz w:val="21"/>
        </w:rPr>
        <w:t>1.乙方负责甲方使用人员的使用操作技术及维护技术的培训直至其能熟练、独立操作</w:t>
      </w:r>
      <w:r>
        <w:rPr>
          <w:sz w:val="21"/>
        </w:rPr>
        <w:t>，</w:t>
      </w:r>
      <w:r>
        <w:rPr>
          <w:sz w:val="21"/>
        </w:rPr>
        <w:t>具体培训内容和时间安排由双方协商确定</w:t>
      </w:r>
      <w:r>
        <w:rPr>
          <w:sz w:val="21"/>
        </w:rPr>
        <w:t>。对于软件类产品，</w:t>
      </w:r>
      <w:r>
        <w:rPr>
          <w:sz w:val="21"/>
        </w:rPr>
        <w:t>乙方还需要对甲方使用人员进行必要的现场培训，保证甲方使用人员能独立安装、升级软件和运行算例。</w:t>
      </w:r>
    </w:p>
    <w:p>
      <w:pPr>
        <w:pStyle w:val="null3"/>
        <w:ind w:firstLine="420"/>
        <w:jc w:val="both"/>
      </w:pPr>
      <w:r>
        <w:rPr>
          <w:sz w:val="21"/>
        </w:rPr>
        <w:t>2.所有货物保修期为</w:t>
      </w:r>
      <w:r>
        <w:rPr>
          <w:sz w:val="21"/>
          <w:u w:val="single"/>
        </w:rPr>
        <w:t>****</w:t>
      </w:r>
      <w:r>
        <w:rPr>
          <w:sz w:val="21"/>
        </w:rPr>
        <w:t>年，</w:t>
      </w:r>
      <w:r>
        <w:rPr>
          <w:sz w:val="21"/>
        </w:rPr>
        <w:t>乙方提供免费</w:t>
      </w:r>
      <w:r>
        <w:rPr>
          <w:sz w:val="21"/>
          <w:u w:val="single"/>
        </w:rPr>
        <w:t>****</w:t>
      </w:r>
      <w:r>
        <w:rPr>
          <w:sz w:val="21"/>
        </w:rPr>
        <w:t>年上门保修服务和系统维护</w:t>
      </w:r>
      <w:r>
        <w:rPr>
          <w:sz w:val="21"/>
        </w:rPr>
        <w:t>，乙方</w:t>
      </w:r>
      <w:r>
        <w:rPr>
          <w:sz w:val="21"/>
        </w:rPr>
        <w:t>不再收取任何费用，保修期自甲乙双方代表在货物安装调试后的验收证明文件上签字之日起计算。</w:t>
      </w:r>
    </w:p>
    <w:p>
      <w:pPr>
        <w:pStyle w:val="null3"/>
        <w:ind w:firstLine="420"/>
        <w:jc w:val="both"/>
      </w:pPr>
      <w:r>
        <w:rPr>
          <w:sz w:val="21"/>
        </w:rPr>
        <w:t>3.保修期内，货物或零部件因质量原因出现故障而造成短期停用时，则保修期和免费维修期相应顺延。如停用时间累计超过60天则保修期重新计算。</w:t>
      </w:r>
    </w:p>
    <w:p>
      <w:pPr>
        <w:pStyle w:val="null3"/>
        <w:ind w:firstLine="420"/>
        <w:jc w:val="both"/>
      </w:pPr>
      <w:r>
        <w:rPr>
          <w:sz w:val="21"/>
        </w:rPr>
        <w:t>4.保修期内，货物如非甲方人为原因而出现的问题由乙方负责包修、包换或包退，并承担修理、调换或退货的实际费用。如果货物同一硬件一个月内连续2次出现同一故障时，乙方须无偿更换全新货物。</w:t>
      </w:r>
    </w:p>
    <w:p>
      <w:pPr>
        <w:pStyle w:val="null3"/>
        <w:ind w:firstLine="420"/>
        <w:jc w:val="both"/>
      </w:pPr>
      <w:r>
        <w:rPr>
          <w:sz w:val="21"/>
        </w:rPr>
        <w:t>5.</w:t>
      </w:r>
      <w:r>
        <w:rPr>
          <w:sz w:val="21"/>
        </w:rPr>
        <w:t>货物</w:t>
      </w:r>
      <w:r>
        <w:rPr>
          <w:sz w:val="21"/>
        </w:rPr>
        <w:t>（含软件类产品）</w:t>
      </w:r>
      <w:r>
        <w:rPr>
          <w:sz w:val="21"/>
        </w:rPr>
        <w:t>故障报修的响应时间为</w:t>
      </w:r>
      <w:r>
        <w:rPr>
          <w:sz w:val="21"/>
        </w:rPr>
        <w:t>2</w:t>
      </w:r>
      <w:r>
        <w:rPr>
          <w:sz w:val="21"/>
        </w:rPr>
        <w:t>小时</w:t>
      </w:r>
      <w:r>
        <w:rPr>
          <w:sz w:val="21"/>
        </w:rPr>
        <w:t>，且在</w:t>
      </w:r>
      <w:r>
        <w:rPr>
          <w:sz w:val="21"/>
        </w:rPr>
        <w:t>8</w:t>
      </w:r>
      <w:r>
        <w:rPr>
          <w:sz w:val="21"/>
        </w:rPr>
        <w:t>小时</w:t>
      </w:r>
      <w:r>
        <w:rPr>
          <w:sz w:val="21"/>
        </w:rPr>
        <w:t>内</w:t>
      </w:r>
      <w:r>
        <w:rPr>
          <w:sz w:val="21"/>
        </w:rPr>
        <w:t>（连同前面时间计算）</w:t>
      </w:r>
      <w:r>
        <w:rPr>
          <w:sz w:val="21"/>
        </w:rPr>
        <w:t>到达现场，</w:t>
      </w:r>
      <w:r>
        <w:rPr>
          <w:sz w:val="21"/>
        </w:rPr>
        <w:t xml:space="preserve">24 </w:t>
      </w:r>
      <w:r>
        <w:rPr>
          <w:sz w:val="21"/>
        </w:rPr>
        <w:t>小时</w:t>
      </w:r>
      <w:r>
        <w:rPr>
          <w:sz w:val="21"/>
        </w:rPr>
        <w:t>内处理完毕。</w:t>
      </w:r>
      <w:r>
        <w:rPr>
          <w:sz w:val="21"/>
        </w:rPr>
        <w:t>规定时间内未处理完毕的，乙方在</w:t>
      </w:r>
      <w:r>
        <w:rPr>
          <w:sz w:val="21"/>
        </w:rPr>
        <w:t>48</w:t>
      </w:r>
      <w:r>
        <w:rPr>
          <w:sz w:val="21"/>
        </w:rPr>
        <w:t>小时内提供不低于同等档次的替代货物供用户使用至故障消除为止。</w:t>
      </w:r>
    </w:p>
    <w:p>
      <w:pPr>
        <w:pStyle w:val="null3"/>
        <w:ind w:firstLine="420"/>
        <w:jc w:val="both"/>
      </w:pPr>
      <w:r>
        <w:rPr>
          <w:sz w:val="21"/>
        </w:rPr>
        <w:t xml:space="preserve">6.负责维修的单位名称： </w:t>
      </w:r>
      <w:r>
        <w:rPr>
          <w:sz w:val="21"/>
          <w:u w:val="single"/>
        </w:rPr>
        <w:t>****</w:t>
      </w:r>
      <w:r>
        <w:rPr>
          <w:sz w:val="21"/>
        </w:rPr>
        <w:t>公司</w:t>
      </w:r>
    </w:p>
    <w:p>
      <w:pPr>
        <w:pStyle w:val="null3"/>
        <w:ind w:firstLine="630"/>
        <w:jc w:val="both"/>
      </w:pPr>
      <w:r>
        <w:rPr>
          <w:sz w:val="21"/>
        </w:rPr>
        <w:t>地</w:t>
      </w:r>
      <w:r>
        <w:rPr>
          <w:sz w:val="21"/>
        </w:rPr>
        <w:t xml:space="preserve">             </w:t>
      </w:r>
      <w:r>
        <w:rPr>
          <w:sz w:val="21"/>
        </w:rPr>
        <w:t>址：</w:t>
      </w:r>
      <w:r>
        <w:rPr>
          <w:sz w:val="21"/>
        </w:rPr>
        <w:t xml:space="preserve">  </w:t>
      </w:r>
      <w:r>
        <w:rPr>
          <w:sz w:val="21"/>
          <w:u w:val="single"/>
        </w:rPr>
        <w:t>****</w:t>
      </w:r>
      <w:r>
        <w:rPr>
          <w:sz w:val="21"/>
        </w:rPr>
        <w:t>市</w:t>
      </w:r>
      <w:r>
        <w:rPr>
          <w:sz w:val="21"/>
          <w:u w:val="single"/>
        </w:rPr>
        <w:t>****</w:t>
      </w:r>
      <w:r>
        <w:rPr>
          <w:sz w:val="21"/>
        </w:rPr>
        <w:t>路</w:t>
      </w:r>
      <w:r>
        <w:rPr>
          <w:sz w:val="21"/>
          <w:u w:val="single"/>
        </w:rPr>
        <w:t>****</w:t>
      </w:r>
      <w:r>
        <w:rPr>
          <w:sz w:val="21"/>
        </w:rPr>
        <w:t>号</w:t>
      </w:r>
      <w:r>
        <w:rPr>
          <w:sz w:val="21"/>
          <w:u w:val="single"/>
        </w:rPr>
        <w:t>****</w:t>
      </w:r>
      <w:r>
        <w:rPr>
          <w:sz w:val="21"/>
        </w:rPr>
        <w:t>室</w:t>
      </w:r>
    </w:p>
    <w:p>
      <w:pPr>
        <w:pStyle w:val="null3"/>
        <w:ind w:firstLine="630"/>
        <w:jc w:val="both"/>
      </w:pPr>
      <w:r>
        <w:rPr>
          <w:sz w:val="21"/>
        </w:rPr>
        <w:t>联</w:t>
      </w:r>
      <w:r>
        <w:rPr>
          <w:sz w:val="21"/>
        </w:rPr>
        <w:t xml:space="preserve">      </w:t>
      </w:r>
      <w:r>
        <w:rPr>
          <w:sz w:val="21"/>
        </w:rPr>
        <w:t>系</w:t>
      </w:r>
      <w:r>
        <w:rPr>
          <w:sz w:val="21"/>
        </w:rPr>
        <w:t xml:space="preserve">     </w:t>
      </w:r>
      <w:r>
        <w:rPr>
          <w:sz w:val="21"/>
        </w:rPr>
        <w:t>人：</w:t>
      </w:r>
      <w:r>
        <w:rPr>
          <w:sz w:val="21"/>
        </w:rPr>
        <w:t xml:space="preserve">  </w:t>
      </w:r>
      <w:r>
        <w:rPr>
          <w:sz w:val="21"/>
          <w:u w:val="single"/>
        </w:rPr>
        <w:t>****</w:t>
      </w:r>
      <w:r>
        <w:rPr>
          <w:sz w:val="21"/>
        </w:rPr>
        <w:t xml:space="preserve">         </w:t>
      </w:r>
    </w:p>
    <w:p>
      <w:pPr>
        <w:pStyle w:val="null3"/>
        <w:ind w:firstLine="630"/>
        <w:jc w:val="both"/>
      </w:pPr>
      <w:r>
        <w:rPr>
          <w:sz w:val="21"/>
        </w:rPr>
        <w:t>电</w:t>
      </w:r>
      <w:r>
        <w:rPr>
          <w:sz w:val="21"/>
        </w:rPr>
        <w:t xml:space="preserve">    </w:t>
      </w:r>
      <w:r>
        <w:rPr>
          <w:sz w:val="21"/>
        </w:rPr>
        <w:t>话：</w:t>
      </w:r>
      <w:r>
        <w:rPr>
          <w:sz w:val="21"/>
          <w:u w:val="single"/>
        </w:rPr>
        <w:t>****</w:t>
      </w:r>
      <w:r>
        <w:rPr>
          <w:sz w:val="21"/>
        </w:rPr>
        <w:t xml:space="preserve">      </w:t>
      </w:r>
      <w:r>
        <w:rPr>
          <w:sz w:val="21"/>
        </w:rPr>
        <w:t>手机：</w:t>
      </w:r>
      <w:r>
        <w:rPr>
          <w:sz w:val="21"/>
          <w:u w:val="single"/>
        </w:rPr>
        <w:t>****</w:t>
      </w:r>
      <w:r>
        <w:rPr>
          <w:sz w:val="21"/>
        </w:rPr>
        <w:t xml:space="preserve">   </w:t>
      </w:r>
    </w:p>
    <w:p>
      <w:pPr>
        <w:pStyle w:val="null3"/>
        <w:spacing w:before="150"/>
        <w:jc w:val="both"/>
      </w:pPr>
      <w:r>
        <w:rPr>
          <w:sz w:val="28"/>
          <w:b/>
        </w:rPr>
        <w:t>八、</w:t>
      </w:r>
      <w:r>
        <w:rPr>
          <w:sz w:val="28"/>
          <w:b/>
        </w:rPr>
        <w:t>违约责任</w:t>
      </w:r>
    </w:p>
    <w:p>
      <w:pPr>
        <w:pStyle w:val="null3"/>
        <w:ind w:firstLine="420"/>
        <w:jc w:val="both"/>
      </w:pPr>
      <w:r>
        <w:rPr>
          <w:sz w:val="21"/>
        </w:rPr>
        <w:t>1.</w:t>
      </w:r>
      <w:r>
        <w:rPr>
          <w:sz w:val="21"/>
        </w:rPr>
        <w:t>甲方无正当理由拒收货物，甲方</w:t>
      </w:r>
      <w:r>
        <w:rPr>
          <w:sz w:val="21"/>
        </w:rPr>
        <w:t>应</w:t>
      </w:r>
      <w:r>
        <w:rPr>
          <w:sz w:val="21"/>
        </w:rPr>
        <w:t>向乙方赔付</w:t>
      </w:r>
      <w:r>
        <w:rPr>
          <w:sz w:val="21"/>
        </w:rPr>
        <w:t>拒收部分</w:t>
      </w:r>
      <w:r>
        <w:rPr>
          <w:sz w:val="21"/>
        </w:rPr>
        <w:t>货</w:t>
      </w:r>
      <w:r>
        <w:rPr>
          <w:sz w:val="21"/>
        </w:rPr>
        <w:t>物的货款金额</w:t>
      </w:r>
      <w:r>
        <w:rPr>
          <w:sz w:val="21"/>
        </w:rPr>
        <w:t>5%的违约金。</w:t>
      </w:r>
    </w:p>
    <w:p>
      <w:pPr>
        <w:pStyle w:val="null3"/>
        <w:ind w:firstLine="420"/>
        <w:jc w:val="both"/>
      </w:pPr>
      <w:r>
        <w:rPr>
          <w:sz w:val="21"/>
        </w:rPr>
        <w:t>2.</w:t>
      </w:r>
      <w:r>
        <w:rPr>
          <w:sz w:val="21"/>
        </w:rPr>
        <w:t>甲方无正当理由逾期支付货款的，</w:t>
      </w:r>
      <w:r>
        <w:rPr>
          <w:sz w:val="21"/>
        </w:rPr>
        <w:t>经乙方书面催告后仍未在合理期限内支付的，</w:t>
      </w:r>
      <w:r>
        <w:rPr>
          <w:sz w:val="21"/>
        </w:rPr>
        <w:t>每逾期</w:t>
      </w:r>
      <w:r>
        <w:rPr>
          <w:sz w:val="21"/>
        </w:rPr>
        <w:t>1天，甲方向乙方赔付欠款总额的</w:t>
      </w:r>
      <w:r>
        <w:rPr>
          <w:sz w:val="21"/>
        </w:rPr>
        <w:t>3</w:t>
      </w:r>
      <w:r>
        <w:rPr>
          <w:sz w:val="21"/>
        </w:rPr>
        <w:t>‰的滞纳金，累计滞纳金总额不超过欠款</w:t>
      </w:r>
      <w:r>
        <w:rPr>
          <w:sz w:val="21"/>
        </w:rPr>
        <w:t>金</w:t>
      </w:r>
      <w:r>
        <w:rPr>
          <w:sz w:val="21"/>
        </w:rPr>
        <w:t>额的</w:t>
      </w:r>
      <w:r>
        <w:rPr>
          <w:sz w:val="21"/>
        </w:rPr>
        <w:t>5%</w:t>
      </w:r>
      <w:r>
        <w:rPr>
          <w:sz w:val="21"/>
        </w:rPr>
        <w:t>。但由于</w:t>
      </w:r>
      <w:r>
        <w:rPr>
          <w:sz w:val="21"/>
        </w:rPr>
        <w:t>乙方</w:t>
      </w:r>
      <w:r>
        <w:rPr>
          <w:sz w:val="21"/>
        </w:rPr>
        <w:t>不充分履行合同义务</w:t>
      </w:r>
      <w:r>
        <w:rPr>
          <w:sz w:val="21"/>
        </w:rPr>
        <w:t>造成甲方逾期支付的</w:t>
      </w:r>
      <w:r>
        <w:rPr>
          <w:sz w:val="21"/>
        </w:rPr>
        <w:t>情况除外。由于财政拨款不到位而导致甲方逾期付款的，甲方不承担违约责任，并且此情况不能成为乙方延期提供货物及服务的理由。</w:t>
      </w:r>
    </w:p>
    <w:p>
      <w:pPr>
        <w:pStyle w:val="null3"/>
        <w:ind w:firstLine="420"/>
        <w:jc w:val="both"/>
      </w:pPr>
      <w:r>
        <w:rPr>
          <w:sz w:val="21"/>
        </w:rPr>
        <w:t>3.</w:t>
      </w:r>
      <w:r>
        <w:rPr>
          <w:sz w:val="21"/>
        </w:rPr>
        <w:t>乙方所交</w:t>
      </w:r>
      <w:r>
        <w:rPr>
          <w:sz w:val="21"/>
        </w:rPr>
        <w:t>付</w:t>
      </w:r>
      <w:r>
        <w:rPr>
          <w:sz w:val="21"/>
        </w:rPr>
        <w:t>的货物</w:t>
      </w:r>
      <w:r>
        <w:rPr>
          <w:sz w:val="21"/>
        </w:rPr>
        <w:t>存在与合同约定内容有任何不相符的情况（包括但不限于名称、品牌、规格、型号、产地、数量、技术指标等）均视为乙方违约，</w:t>
      </w:r>
      <w:r>
        <w:rPr>
          <w:sz w:val="21"/>
        </w:rPr>
        <w:t>甲方有权拒收货物</w:t>
      </w:r>
      <w:r>
        <w:rPr>
          <w:sz w:val="21"/>
        </w:rPr>
        <w:t>，乙方应支付合同总金额</w:t>
      </w:r>
      <w:r>
        <w:rPr>
          <w:sz w:val="21"/>
        </w:rPr>
        <w:t>5%的违约金。如甲方同意乙方整改的，</w:t>
      </w:r>
      <w:r>
        <w:rPr>
          <w:sz w:val="21"/>
        </w:rPr>
        <w:t>乙</w:t>
      </w:r>
      <w:r>
        <w:rPr>
          <w:sz w:val="21"/>
        </w:rPr>
        <w:t>方除应交纳的前述违约金外，还必须在甲方规定的期限内整改到位（包括但不限于退换货），并承担由</w:t>
      </w:r>
      <w:r>
        <w:rPr>
          <w:sz w:val="21"/>
        </w:rPr>
        <w:t>此产生的全部费用。如果甲方不同意乙方整改的，视为乙方严重违约，甲方可以单方面解除合同，乙方需要退还甲方已支付的所有款项并赔付合同总金额</w:t>
      </w:r>
      <w:r>
        <w:rPr>
          <w:sz w:val="21"/>
        </w:rPr>
        <w:t>10%的违约金。</w:t>
      </w:r>
    </w:p>
    <w:p>
      <w:pPr>
        <w:pStyle w:val="null3"/>
        <w:ind w:firstLine="420"/>
        <w:jc w:val="both"/>
      </w:pPr>
      <w:r>
        <w:rPr>
          <w:sz w:val="21"/>
        </w:rPr>
        <w:t>4.</w:t>
      </w:r>
      <w:r>
        <w:rPr>
          <w:sz w:val="21"/>
        </w:rPr>
        <w:t>乙方逾期交货的，每逾期</w:t>
      </w:r>
      <w:r>
        <w:rPr>
          <w:sz w:val="21"/>
        </w:rPr>
        <w:t>1天，乙方向甲方赔付逾期交货部分货款</w:t>
      </w:r>
      <w:r>
        <w:rPr>
          <w:sz w:val="21"/>
        </w:rPr>
        <w:t>金</w:t>
      </w:r>
      <w:r>
        <w:rPr>
          <w:sz w:val="21"/>
        </w:rPr>
        <w:t>额</w:t>
      </w:r>
      <w:r>
        <w:rPr>
          <w:sz w:val="21"/>
        </w:rPr>
        <w:t>3</w:t>
      </w:r>
      <w:r>
        <w:rPr>
          <w:sz w:val="21"/>
        </w:rPr>
        <w:t>‰的滞纳金，累计滞纳金总额不超过</w:t>
      </w:r>
      <w:r>
        <w:rPr>
          <w:sz w:val="21"/>
        </w:rPr>
        <w:t>合同总金额的</w:t>
      </w:r>
      <w:r>
        <w:rPr>
          <w:sz w:val="21"/>
        </w:rPr>
        <w:t>5%</w:t>
      </w:r>
      <w:r>
        <w:rPr>
          <w:sz w:val="21"/>
        </w:rPr>
        <w:t>。乙方</w:t>
      </w:r>
      <w:r>
        <w:rPr>
          <w:sz w:val="21"/>
        </w:rPr>
        <w:t>逾期交货超过</w:t>
      </w:r>
      <w:r>
        <w:rPr>
          <w:sz w:val="21"/>
        </w:rPr>
        <w:t>1</w:t>
      </w:r>
      <w:r>
        <w:rPr>
          <w:sz w:val="21"/>
        </w:rPr>
        <w:t>5</w:t>
      </w:r>
      <w:r>
        <w:rPr>
          <w:sz w:val="21"/>
        </w:rPr>
        <w:t>天，</w:t>
      </w:r>
      <w:r>
        <w:rPr>
          <w:sz w:val="21"/>
        </w:rPr>
        <w:t>视为乙方严重违约，</w:t>
      </w:r>
      <w:r>
        <w:rPr>
          <w:sz w:val="21"/>
        </w:rPr>
        <w:t>甲方</w:t>
      </w:r>
      <w:r>
        <w:rPr>
          <w:sz w:val="21"/>
        </w:rPr>
        <w:t>可以单方面解除</w:t>
      </w:r>
      <w:r>
        <w:rPr>
          <w:sz w:val="21"/>
        </w:rPr>
        <w:t>合同</w:t>
      </w:r>
      <w:r>
        <w:rPr>
          <w:sz w:val="21"/>
        </w:rPr>
        <w:t>，</w:t>
      </w:r>
      <w:r>
        <w:rPr>
          <w:sz w:val="21"/>
        </w:rPr>
        <w:t>乙方需要退还甲方已支付的所有款项并赔付合同总金额</w:t>
      </w:r>
      <w:r>
        <w:rPr>
          <w:sz w:val="21"/>
        </w:rPr>
        <w:t>10%的违约金。</w:t>
      </w:r>
    </w:p>
    <w:p>
      <w:pPr>
        <w:pStyle w:val="null3"/>
        <w:ind w:firstLine="420"/>
        <w:jc w:val="both"/>
      </w:pPr>
      <w:r>
        <w:rPr>
          <w:sz w:val="21"/>
        </w:rPr>
        <w:t>5.</w:t>
      </w:r>
      <w:r>
        <w:rPr>
          <w:sz w:val="21"/>
        </w:rPr>
        <w:t>乙方如没有按合同规定履行售后服务承诺，甲方可</w:t>
      </w:r>
      <w:r>
        <w:rPr>
          <w:sz w:val="21"/>
        </w:rPr>
        <w:t>请</w:t>
      </w:r>
      <w:r>
        <w:rPr>
          <w:sz w:val="21"/>
        </w:rPr>
        <w:t>第三方单位进行修复，</w:t>
      </w:r>
      <w:r>
        <w:rPr>
          <w:sz w:val="21"/>
        </w:rPr>
        <w:t>由此造成的包括但不限于第三方的维保费用、甲方的其他经济损失等均由乙方承担，甲方有权直接从履约保证金中扣减。</w:t>
      </w:r>
    </w:p>
    <w:p>
      <w:pPr>
        <w:pStyle w:val="null3"/>
        <w:ind w:firstLine="420"/>
        <w:jc w:val="both"/>
      </w:pPr>
      <w:r>
        <w:rPr>
          <w:sz w:val="21"/>
        </w:rPr>
        <w:t>6.乙方有以下情形之一的，甲方可以单方面解除合同，乙方需退还甲方已支付的所有款项，并按合同总金额10%向甲方赔付违约金，</w:t>
      </w:r>
      <w:r>
        <w:rPr>
          <w:sz w:val="21"/>
        </w:rPr>
        <w:t>并赔偿甲方的一切损失（包括但不限于赔偿款、律师费、差旅费、公证费、检测费、税费、财产保全担保费等）</w:t>
      </w:r>
      <w:r>
        <w:rPr>
          <w:sz w:val="21"/>
        </w:rPr>
        <w:t>。具体情形如下：</w:t>
      </w:r>
    </w:p>
    <w:p>
      <w:pPr>
        <w:pStyle w:val="null3"/>
        <w:ind w:firstLine="420"/>
        <w:jc w:val="both"/>
      </w:pPr>
      <w:r>
        <w:rPr>
          <w:sz w:val="21"/>
        </w:rPr>
        <w:t>（</w:t>
      </w:r>
      <w:r>
        <w:rPr>
          <w:sz w:val="21"/>
        </w:rPr>
        <w:t>1）乙方交付的货物存在侵犯他人知识产权、</w:t>
      </w:r>
      <w:r>
        <w:rPr>
          <w:sz w:val="21"/>
        </w:rPr>
        <w:t>所有权、</w:t>
      </w:r>
      <w:r>
        <w:rPr>
          <w:sz w:val="21"/>
        </w:rPr>
        <w:t>肖像权、技术秘密、商业秘密或其他任何权益的；</w:t>
      </w:r>
    </w:p>
    <w:p>
      <w:pPr>
        <w:pStyle w:val="null3"/>
        <w:ind w:firstLine="420"/>
        <w:jc w:val="both"/>
      </w:pPr>
      <w:r>
        <w:rPr>
          <w:sz w:val="21"/>
        </w:rPr>
        <w:t>（</w:t>
      </w:r>
      <w:r>
        <w:rPr>
          <w:sz w:val="21"/>
        </w:rPr>
        <w:t>2）乙方履行义务不符合同约定，经甲方提出后在合理期限内仍未整改到位的；</w:t>
      </w:r>
    </w:p>
    <w:p>
      <w:pPr>
        <w:pStyle w:val="null3"/>
        <w:ind w:firstLine="420"/>
        <w:jc w:val="both"/>
      </w:pPr>
      <w:r>
        <w:rPr>
          <w:sz w:val="21"/>
        </w:rPr>
        <w:t>（</w:t>
      </w:r>
      <w:r>
        <w:rPr>
          <w:sz w:val="21"/>
        </w:rPr>
        <w:t>3）未经甲方书面同意，乙方将本合同项下的权利或义务转让，或将本合同项下服务转包或分包的；</w:t>
      </w:r>
    </w:p>
    <w:p>
      <w:pPr>
        <w:pStyle w:val="null3"/>
        <w:ind w:firstLine="567"/>
        <w:jc w:val="both"/>
      </w:pPr>
      <w:r>
        <w:rPr>
          <w:sz w:val="21"/>
        </w:rPr>
        <w:t>（</w:t>
      </w:r>
      <w:r>
        <w:rPr>
          <w:sz w:val="21"/>
        </w:rPr>
        <w:t>4）违反本合同第十条第4点保密责任的；</w:t>
      </w:r>
    </w:p>
    <w:p>
      <w:pPr>
        <w:pStyle w:val="null3"/>
        <w:ind w:firstLine="420"/>
        <w:jc w:val="both"/>
      </w:pPr>
      <w:r>
        <w:rPr>
          <w:sz w:val="21"/>
        </w:rPr>
        <w:t>（</w:t>
      </w:r>
      <w:r>
        <w:rPr>
          <w:sz w:val="21"/>
        </w:rPr>
        <w:t>5）</w:t>
      </w:r>
      <w:r>
        <w:rPr>
          <w:sz w:val="21"/>
        </w:rPr>
        <w:t>乙方提供的货物实际为</w:t>
      </w:r>
      <w:r>
        <w:rPr>
          <w:sz w:val="21"/>
        </w:rPr>
        <w:t>假冒产品或者非原产国或原产地原厂进口的；</w:t>
      </w:r>
    </w:p>
    <w:p>
      <w:pPr>
        <w:pStyle w:val="null3"/>
        <w:ind w:firstLine="420"/>
        <w:jc w:val="both"/>
      </w:pPr>
      <w:r>
        <w:rPr>
          <w:sz w:val="21"/>
        </w:rPr>
        <w:t>（</w:t>
      </w:r>
      <w:r>
        <w:rPr>
          <w:sz w:val="21"/>
        </w:rPr>
        <w:t>6）</w:t>
      </w:r>
      <w:r>
        <w:rPr>
          <w:sz w:val="21"/>
        </w:rPr>
        <w:t>国家法律规定的其合同解除的情形。</w:t>
      </w:r>
    </w:p>
    <w:p>
      <w:pPr>
        <w:pStyle w:val="null3"/>
        <w:ind w:firstLine="420"/>
        <w:jc w:val="both"/>
      </w:pPr>
      <w:r>
        <w:rPr>
          <w:sz w:val="21"/>
        </w:rPr>
        <w:t>7.</w:t>
      </w:r>
      <w:r>
        <w:rPr>
          <w:sz w:val="21"/>
        </w:rPr>
        <w:t>因乙方或乙方产品原因导致的一切人身、财产损失均由乙方负责赔偿。</w:t>
      </w:r>
    </w:p>
    <w:p>
      <w:pPr>
        <w:pStyle w:val="null3"/>
        <w:spacing w:before="150"/>
        <w:jc w:val="both"/>
      </w:pPr>
      <w:r>
        <w:rPr>
          <w:sz w:val="28"/>
          <w:b/>
        </w:rPr>
        <w:t>九、适用法律与争议解决</w:t>
      </w:r>
    </w:p>
    <w:p>
      <w:pPr>
        <w:pStyle w:val="null3"/>
        <w:ind w:firstLine="420"/>
        <w:jc w:val="both"/>
      </w:pPr>
      <w:r>
        <w:rPr>
          <w:sz w:val="21"/>
        </w:rPr>
        <w:t>1.本合同的成立、有效性、解释、履行、签署、修订和终止以及争议的解决均应适用中华人民共和国法律。</w:t>
      </w:r>
    </w:p>
    <w:p>
      <w:pPr>
        <w:pStyle w:val="null3"/>
        <w:ind w:firstLine="420"/>
        <w:jc w:val="both"/>
      </w:pPr>
      <w:r>
        <w:rPr>
          <w:sz w:val="21"/>
        </w:rPr>
        <w:t>2.</w:t>
      </w:r>
      <w:r>
        <w:rPr>
          <w:sz w:val="21"/>
        </w:rPr>
        <w:t>因货物的质量问题发生争议，</w:t>
      </w:r>
      <w:r>
        <w:rPr>
          <w:sz w:val="21"/>
        </w:rPr>
        <w:t>可共同或单方委托</w:t>
      </w:r>
      <w:r>
        <w:rPr>
          <w:sz w:val="21"/>
        </w:rPr>
        <w:t>质量鉴定单位进行质量鉴定</w:t>
      </w:r>
      <w:r>
        <w:rPr>
          <w:sz w:val="21"/>
        </w:rPr>
        <w:t>；</w:t>
      </w:r>
      <w:r>
        <w:rPr>
          <w:sz w:val="21"/>
        </w:rPr>
        <w:t>货物符合质量标准的，鉴定费由甲方承担，货物不符合质量标准的，鉴定费由乙方承担。</w:t>
      </w:r>
    </w:p>
    <w:p>
      <w:pPr>
        <w:pStyle w:val="null3"/>
        <w:ind w:firstLine="420"/>
        <w:jc w:val="both"/>
      </w:pPr>
      <w:r>
        <w:rPr>
          <w:sz w:val="21"/>
        </w:rPr>
        <w:t>3</w:t>
      </w:r>
      <w:r>
        <w:rPr>
          <w:sz w:val="21"/>
        </w:rPr>
        <w:t>.合同任一方因受不</w:t>
      </w:r>
      <w:r>
        <w:rPr>
          <w:sz w:val="21"/>
        </w:rPr>
        <w:t>可抗</w:t>
      </w:r>
      <w:r>
        <w:rPr>
          <w:sz w:val="21"/>
        </w:rPr>
        <w:t>力事件影响导致无法履行合同时，该方可以免责。但是，受不可抗力事件影响的一方须尽快将事件发生情况通知对方，并在不可抗力事件影响消除之日起</w:t>
      </w:r>
      <w:r>
        <w:rPr>
          <w:sz w:val="21"/>
        </w:rPr>
        <w:t>10个工作日内将由官方机构出具的不可抗力事件证明交给对方。未能提供以上证明的，不能免除违约责任。</w:t>
      </w:r>
    </w:p>
    <w:p>
      <w:pPr>
        <w:pStyle w:val="null3"/>
        <w:ind w:firstLine="420"/>
        <w:jc w:val="both"/>
      </w:pPr>
      <w:r>
        <w:rPr>
          <w:sz w:val="21"/>
        </w:rPr>
        <w:t>4.由于其他非不可抗力因素导致</w:t>
      </w:r>
      <w:r>
        <w:rPr>
          <w:sz w:val="21"/>
        </w:rPr>
        <w:t>合同无法继续履行时，</w:t>
      </w:r>
      <w:r>
        <w:rPr>
          <w:sz w:val="21"/>
        </w:rPr>
        <w:t>责任方</w:t>
      </w:r>
      <w:r>
        <w:rPr>
          <w:sz w:val="21"/>
        </w:rPr>
        <w:t>应及时通知</w:t>
      </w:r>
      <w:r>
        <w:rPr>
          <w:sz w:val="21"/>
        </w:rPr>
        <w:t>对方</w:t>
      </w:r>
      <w:r>
        <w:rPr>
          <w:sz w:val="21"/>
        </w:rPr>
        <w:t>办理合同终止协议，并由责任方赔偿对方由此造成的经济损失。</w:t>
      </w:r>
    </w:p>
    <w:p>
      <w:pPr>
        <w:pStyle w:val="null3"/>
        <w:ind w:firstLine="420"/>
        <w:jc w:val="both"/>
      </w:pPr>
      <w:r>
        <w:rPr>
          <w:sz w:val="21"/>
        </w:rPr>
        <w:t>5.</w:t>
      </w:r>
      <w:r>
        <w:rPr>
          <w:sz w:val="21"/>
        </w:rPr>
        <w:t>凡与本合同有关而引起的一切争议，</w:t>
      </w:r>
      <w:r>
        <w:rPr>
          <w:sz w:val="21"/>
        </w:rPr>
        <w:t>双方</w:t>
      </w:r>
      <w:r>
        <w:rPr>
          <w:sz w:val="21"/>
        </w:rPr>
        <w:t>应首先通过友好协商解决</w:t>
      </w:r>
      <w:r>
        <w:rPr>
          <w:sz w:val="21"/>
        </w:rPr>
        <w:t>。</w:t>
      </w:r>
      <w:r>
        <w:rPr>
          <w:sz w:val="21"/>
        </w:rPr>
        <w:t>如经协商后仍不能达成协议时，任何一方可以向</w:t>
      </w:r>
      <w:r>
        <w:rPr>
          <w:sz w:val="21"/>
        </w:rPr>
        <w:t>甲方所在地人民</w:t>
      </w:r>
      <w:r>
        <w:rPr>
          <w:sz w:val="21"/>
        </w:rPr>
        <w:t>法院</w:t>
      </w:r>
      <w:r>
        <w:rPr>
          <w:sz w:val="21"/>
        </w:rPr>
        <w:t>提起</w:t>
      </w:r>
      <w:r>
        <w:rPr>
          <w:sz w:val="21"/>
        </w:rPr>
        <w:t>诉讼。</w:t>
      </w:r>
    </w:p>
    <w:p>
      <w:pPr>
        <w:pStyle w:val="null3"/>
        <w:spacing w:before="150"/>
        <w:jc w:val="both"/>
      </w:pPr>
      <w:r>
        <w:rPr>
          <w:sz w:val="28"/>
          <w:b/>
        </w:rPr>
        <w:t>十、风险转移与保密责任</w:t>
      </w:r>
    </w:p>
    <w:p>
      <w:pPr>
        <w:pStyle w:val="null3"/>
        <w:ind w:firstLine="420"/>
        <w:jc w:val="both"/>
      </w:pPr>
      <w:r>
        <w:rPr>
          <w:sz w:val="21"/>
        </w:rPr>
        <w:t>1.货物毁损、灭失的风险，在验收合格并交付前由乙方承担，在验收合格并交付后由甲方承担。</w:t>
      </w:r>
    </w:p>
    <w:p>
      <w:pPr>
        <w:pStyle w:val="null3"/>
        <w:ind w:firstLine="420"/>
        <w:jc w:val="both"/>
      </w:pPr>
      <w:r>
        <w:rPr>
          <w:sz w:val="21"/>
        </w:rPr>
        <w:t>2.甲方因货物不符合合同约定而拒收的，或者合同解除的，货物的毁损、灭失风险均由乙方承担。</w:t>
      </w:r>
    </w:p>
    <w:p>
      <w:pPr>
        <w:pStyle w:val="null3"/>
        <w:ind w:firstLine="420"/>
        <w:jc w:val="both"/>
      </w:pPr>
      <w:r>
        <w:rPr>
          <w:sz w:val="21"/>
        </w:rPr>
        <w:t>3.产权和风险的转移，不影响甲方追究乙方违约责任的权利。</w:t>
      </w:r>
    </w:p>
    <w:p>
      <w:pPr>
        <w:pStyle w:val="null3"/>
        <w:ind w:firstLine="420"/>
        <w:jc w:val="both"/>
      </w:pPr>
      <w:r>
        <w:rPr>
          <w:sz w:val="21"/>
        </w:rPr>
        <w:t>4.合同双方均应保守通过签订履行本合同而获得的对方之商业及技术秘密，包括本合同文本，相关技术文件、相关数据以及其他有关信息，</w:t>
      </w:r>
      <w:r>
        <w:rPr>
          <w:sz w:val="21"/>
        </w:rPr>
        <w:t>无论以何种形式或载于何种载体，无论在披露时是否以口头、图像或以书面方式均具有保密性。</w:t>
      </w:r>
      <w:r>
        <w:rPr>
          <w:sz w:val="21"/>
        </w:rPr>
        <w:t>任何一方违反上述规定的，应赔偿合同守约方的损失。</w:t>
      </w:r>
      <w:r>
        <w:rPr>
          <w:sz w:val="21"/>
        </w:rPr>
        <w:t>没有甲方事先书面同意，乙方不得将由甲方提供的有关合同或任何合同条文、规格、计划、图纸、样品或资料提供给与履行本合同无关的任何其他人。即使向履行本合同有关的人员提供，也应注意保密并限于履行合同的必需范围。</w:t>
      </w:r>
      <w:r>
        <w:rPr>
          <w:sz w:val="21"/>
        </w:rPr>
        <w:t>合同范围内如涉及国家机密的，按照《中华人民共和国保守国家秘密法》执行，受中华人民共和国的法律管辖并按照中国的法律进行解释及处理。</w:t>
      </w:r>
      <w:r>
        <w:rPr>
          <w:sz w:val="21"/>
        </w:rPr>
        <w:t>本保密条款及保密责任不因合同解除或终止而消失。</w:t>
      </w:r>
    </w:p>
    <w:p>
      <w:pPr>
        <w:pStyle w:val="null3"/>
        <w:spacing w:before="150"/>
        <w:jc w:val="both"/>
      </w:pPr>
      <w:r>
        <w:rPr>
          <w:sz w:val="28"/>
          <w:b/>
        </w:rPr>
        <w:t>十一、其他约定条款</w:t>
      </w:r>
    </w:p>
    <w:p>
      <w:pPr>
        <w:pStyle w:val="null3"/>
        <w:ind w:firstLine="420"/>
        <w:jc w:val="both"/>
      </w:pPr>
      <w:r>
        <w:rPr>
          <w:sz w:val="21"/>
        </w:rPr>
        <w:t>1.</w:t>
      </w:r>
      <w:r>
        <w:rPr>
          <w:sz w:val="21"/>
        </w:rPr>
        <w:t>合同生效：合同经</w:t>
      </w:r>
      <w:r>
        <w:rPr>
          <w:sz w:val="21"/>
        </w:rPr>
        <w:t>各</w:t>
      </w:r>
      <w:r>
        <w:rPr>
          <w:sz w:val="21"/>
        </w:rPr>
        <w:t>方授权代表签字并经单位盖章；合同生效日期以后一个签字的日期为准。</w:t>
      </w:r>
    </w:p>
    <w:p>
      <w:pPr>
        <w:pStyle w:val="null3"/>
        <w:ind w:firstLine="420"/>
        <w:jc w:val="both"/>
      </w:pPr>
      <w:r>
        <w:rPr>
          <w:sz w:val="21"/>
        </w:rPr>
        <w:t>2.开标结果通知书、投标文件、招标文件、响应文件、其他补充通知及本合同之所有附件均为组成部分，与本合同具有同样法律效力，解释的顺序以文件生成时间在后的为准。</w:t>
      </w:r>
    </w:p>
    <w:p>
      <w:pPr>
        <w:pStyle w:val="null3"/>
        <w:ind w:firstLine="420"/>
        <w:jc w:val="both"/>
      </w:pPr>
      <w:r>
        <w:rPr>
          <w:sz w:val="21"/>
        </w:rPr>
        <w:t>3.在执行本合同的过程中，所有经甲乙双方签署确认的文件（包括会议纪要、补充协议、合同修改书、往来信函等）均为本合同的有效组成部分，其生效日期为双方均签字盖章或确认之日。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4.合同任</w:t>
      </w:r>
      <w:r>
        <w:rPr>
          <w:sz w:val="21"/>
        </w:rPr>
        <w:t>一方的名称、地址、电话、银行账号信息有变更，应在变更之日起</w:t>
      </w:r>
      <w:r>
        <w:rPr>
          <w:sz w:val="21"/>
        </w:rPr>
        <w:t>5日内书面通知对方，未履行书面通知义务的，另一方按原合同信息邮寄相关材料、或通知相关信息、或支付相关款项即视为履行送达义务</w:t>
      </w:r>
      <w:r>
        <w:rPr>
          <w:sz w:val="21"/>
        </w:rPr>
        <w:t>。合同任一方因公司注销、银行账号注销或冻结等导致无法收到款项的，由该方承担相应后果。</w:t>
      </w:r>
    </w:p>
    <w:p>
      <w:pPr>
        <w:pStyle w:val="null3"/>
        <w:ind w:firstLine="420"/>
        <w:jc w:val="both"/>
      </w:pPr>
      <w:r>
        <w:rPr>
          <w:sz w:val="21"/>
        </w:rPr>
        <w:t>5.在履行合同过程中，乙方的委托代理人、项目联系人、经办人的行为、意思表示及对甲方所作的任何承诺、回复、通知等，都对乙方直接具有约束力；甲方的通知、文书、文件、资料等送达该人时，即视为送达乙方；甲方当面交付上述材料的，在交付之时视为送达；以邮寄方式交付的，寄出、发出或者投邮后即视为送达；通过电子邮件、传真、短信方式通知的，自甲方向乙方发出即视为送达。</w:t>
      </w:r>
    </w:p>
    <w:p>
      <w:pPr>
        <w:pStyle w:val="null3"/>
        <w:ind w:firstLine="420"/>
        <w:jc w:val="both"/>
      </w:pPr>
      <w:r>
        <w:rPr>
          <w:sz w:val="21"/>
        </w:rPr>
        <w:t>6.</w:t>
      </w:r>
      <w:r>
        <w:rPr>
          <w:sz w:val="21"/>
        </w:rPr>
        <w:t>本合同书一式</w:t>
      </w:r>
      <w:r>
        <w:rPr>
          <w:sz w:val="21"/>
        </w:rPr>
        <w:t>四</w:t>
      </w:r>
      <w:r>
        <w:rPr>
          <w:sz w:val="21"/>
        </w:rPr>
        <w:t>份，均为正本</w:t>
      </w:r>
      <w:r>
        <w:rPr>
          <w:sz w:val="21"/>
        </w:rPr>
        <w:t>，</w:t>
      </w:r>
      <w:r>
        <w:rPr>
          <w:sz w:val="21"/>
        </w:rPr>
        <w:t>具有同等法律效力，甲方执</w:t>
      </w:r>
      <w:r>
        <w:rPr>
          <w:sz w:val="21"/>
        </w:rPr>
        <w:t>三</w:t>
      </w:r>
      <w:r>
        <w:rPr>
          <w:sz w:val="21"/>
        </w:rPr>
        <w:t>份</w:t>
      </w:r>
      <w:r>
        <w:rPr>
          <w:sz w:val="21"/>
        </w:rPr>
        <w:t>，乙方一份。</w:t>
      </w:r>
    </w:p>
    <w:tbl>
      <w:tblPr>
        <w:tblW w:w="0" w:type="auto"/>
        <w:tblBorders>
          <w:top w:val="none" w:color="000000" w:sz="4"/>
          <w:left w:val="none" w:color="000000" w:sz="4"/>
          <w:bottom w:val="none" w:color="000000" w:sz="4"/>
          <w:right w:val="none" w:color="000000" w:sz="4"/>
          <w:insideH w:val="none"/>
          <w:insideV w:val="none"/>
        </w:tblBorders>
      </w:tblPr>
      <w:tblGrid>
        <w:gridCol w:w="1359"/>
        <w:gridCol w:w="2265"/>
        <w:gridCol w:w="1359"/>
        <w:gridCol w:w="3322"/>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　　　方：</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广东工业大学</w:t>
            </w:r>
          </w:p>
        </w:tc>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乙　　　方：</w:t>
            </w:r>
          </w:p>
        </w:tc>
        <w:tc>
          <w:tcPr>
            <w:tcW w:type="dxa" w:w="3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****有限公司</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广州市广州大学城外环西路</w:t>
            </w:r>
            <w:r>
              <w:rPr>
                <w:sz w:val="21"/>
              </w:rPr>
              <w:t>100号</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地　　　址：</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****市****路****号****室</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r>
              <w:rPr>
                <w:sz w:val="21"/>
              </w:rPr>
              <w:t>：</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510006</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邮政编码</w:t>
            </w:r>
            <w:r>
              <w:rPr>
                <w:sz w:val="21"/>
              </w:rPr>
              <w:t>：</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广州市工行三支行</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3602028909000196985</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银行账号：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纳税人识别号：</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12440000455860226X</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银行联行号：</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12位，必填项</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邱学青</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统一社会信用代码</w:t>
            </w:r>
            <w:r>
              <w:rPr>
                <w:sz w:val="21"/>
              </w:rPr>
              <w:t>：</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法定代表人（</w:t>
            </w:r>
            <w:r>
              <w:rPr>
                <w:sz w:val="21"/>
              </w:rPr>
              <w:t>拥有者性别</w:t>
            </w:r>
            <w:r>
              <w:rPr>
                <w:sz w:val="21"/>
              </w:rPr>
              <w:t>）：</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（□男   □女）</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项目负责人：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委托代理人：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w:t>
            </w:r>
            <w:r>
              <w:rPr>
                <w:sz w:val="21"/>
              </w:rPr>
              <w:t xml:space="preserve">  </w:t>
            </w:r>
            <w:r>
              <w:rPr>
                <w:sz w:val="21"/>
              </w:rPr>
              <w:t>办</w:t>
            </w:r>
            <w:r>
              <w:rPr>
                <w:sz w:val="21"/>
              </w:rPr>
              <w:t xml:space="preserve">  </w:t>
            </w:r>
            <w:r>
              <w:rPr>
                <w:sz w:val="21"/>
              </w:rPr>
              <w:t>人：</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电子邮箱：</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填联系人邮箱</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电子邮箱：</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　　</w:t>
            </w:r>
            <w:r>
              <w:rPr>
                <w:sz w:val="21"/>
              </w:rPr>
              <w:t xml:space="preserve">  </w:t>
            </w:r>
            <w:r>
              <w:rPr>
                <w:sz w:val="21"/>
              </w:rPr>
              <w:t>话：</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020-39322383</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w:t>
            </w:r>
            <w:r>
              <w:rPr>
                <w:sz w:val="21"/>
              </w:rPr>
              <w:t xml:space="preserve">      </w:t>
            </w:r>
            <w:r>
              <w:rPr>
                <w:sz w:val="21"/>
              </w:rPr>
              <w:t>话：</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w:t>
            </w:r>
            <w:r>
              <w:rPr>
                <w:sz w:val="21"/>
              </w:rPr>
              <w:t>订</w:t>
            </w:r>
            <w:r>
              <w:rPr>
                <w:sz w:val="21"/>
              </w:rPr>
              <w:t>时</w:t>
            </w:r>
            <w:r>
              <w:rPr>
                <w:sz w:val="21"/>
              </w:rPr>
              <w:t>间：</w:t>
            </w:r>
          </w:p>
        </w:tc>
        <w:tc>
          <w:tcPr>
            <w:tcW w:type="dxa" w:w="3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  年   月   日</w:t>
            </w:r>
          </w:p>
        </w:tc>
      </w:tr>
    </w:tbl>
    <w:p>
      <w:pPr>
        <w:pStyle w:val="null3"/>
        <w:jc w:val="both"/>
      </w:pPr>
      <w:r>
        <w:rPr/>
        <w:t xml:space="preserve"> </w:t>
      </w:r>
    </w:p>
    <w:p>
      <w:pPr>
        <w:pStyle w:val="null3"/>
        <w:jc w:val="both"/>
      </w:pPr>
      <w:r>
        <w:rPr>
          <w:sz w:val="28"/>
          <w:b/>
        </w:rPr>
        <w:t>附件</w:t>
      </w:r>
      <w:r>
        <w:rPr>
          <w:sz w:val="21"/>
        </w:rPr>
        <w:t xml:space="preserve"> </w:t>
      </w:r>
      <w:r>
        <w:rPr>
          <w:sz w:val="28"/>
          <w:b/>
        </w:rPr>
        <w:t>详细配置清单及技术指标</w:t>
      </w:r>
    </w:p>
    <w:tbl>
      <w:tblPr>
        <w:tblW w:w="0" w:type="auto"/>
        <w:tblBorders>
          <w:top w:val="none" w:color="000000" w:sz="4"/>
          <w:left w:val="none" w:color="000000" w:sz="4"/>
          <w:bottom w:val="none" w:color="000000" w:sz="4"/>
          <w:right w:val="none" w:color="000000" w:sz="4"/>
          <w:insideH w:val="none"/>
          <w:insideV w:val="none"/>
        </w:tblBorders>
      </w:tblPr>
      <w:tblGrid>
        <w:gridCol w:w="683"/>
        <w:gridCol w:w="2291"/>
        <w:gridCol w:w="5317"/>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详细配置清单及技术指标</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sz w:val="48"/>
          <w:b/>
        </w:rPr>
        <w:t xml:space="preserve"> </w:t>
      </w:r>
    </w:p>
    <w:p>
      <w:pPr>
        <w:pStyle w:val="null3"/>
        <w:spacing w:before="0" w:after="0" w:lineRule="auto" w:line="360"/>
        <w:ind w:left="0" w:right="0"/>
        <w:jc w:val="center"/>
      </w:pPr>
      <w:r>
        <w:rPr>
          <w:sz w:val="48"/>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440001-2025-34852</w:t>
      </w:r>
    </w:p>
    <w:p>
      <w:pPr>
        <w:pStyle w:val="null3"/>
        <w:jc w:val="center"/>
        <w:outlineLvl w:val="3"/>
      </w:pPr>
      <w:r>
        <w:rPr>
          <w:sz w:val="24"/>
          <w:b/>
        </w:rPr>
        <w:t>采购项目编号：</w:t>
      </w:r>
      <w:r>
        <w:rPr>
          <w:sz w:val="24"/>
          <w:b/>
        </w:rPr>
        <w:t>GZZJ-ZG-2025632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广州中经招标有限公司</w:t>
      </w:r>
    </w:p>
    <w:p>
      <w:pPr>
        <w:pStyle w:val="null3"/>
        <w:ind w:firstLine="480"/>
      </w:pPr>
      <w:r>
        <w:rPr/>
        <w:t xml:space="preserve"> 你方组织的</w:t>
      </w:r>
      <w:r>
        <w:rPr>
          <w:u w:val="single"/>
        </w:rPr>
        <w:t>“</w:t>
      </w:r>
      <w:r>
        <w:rPr>
          <w:u w:val="single"/>
        </w:rPr>
        <w:t>晶圆级高密度激光辅助键合系统</w:t>
      </w:r>
      <w:r>
        <w:rPr>
          <w:u w:val="single"/>
        </w:rPr>
        <w:t>”</w:t>
      </w:r>
      <w:r>
        <w:rPr/>
        <w:t>项目的招标[采购项目编号为：</w:t>
      </w:r>
      <w:r>
        <w:rPr>
          <w:u w:val="single"/>
        </w:rPr>
        <w:t>GZZJ-ZG-2025632</w:t>
      </w:r>
      <w:r>
        <w:rPr/>
        <w:t>]，我方愿参与投标。</w:t>
      </w:r>
    </w:p>
    <w:p>
      <w:pPr>
        <w:pStyle w:val="null3"/>
        <w:ind w:firstLine="480"/>
      </w:pPr>
      <w:r>
        <w:rPr/>
        <w:t>我方确认收到贵方提供的</w:t>
      </w:r>
      <w:r>
        <w:rPr>
          <w:u w:val="single"/>
        </w:rPr>
        <w:t>“</w:t>
      </w:r>
      <w:r>
        <w:rPr>
          <w:u w:val="single"/>
        </w:rPr>
        <w:t>晶圆级高密度激光辅助键合系统</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广州中经招标有限公司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晶圆级高密度激光辅助键合系统</w:t>
      </w:r>
      <w:r>
        <w:rPr/>
        <w:t>”项目采购[采购项目编号为</w:t>
      </w:r>
      <w:r>
        <w:rPr/>
        <w:t>GZZJ-ZG-2025632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广东工业大学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广州中经招标有限公司</w:t>
      </w:r>
    </w:p>
    <w:p>
      <w:pPr>
        <w:pStyle w:val="null3"/>
        <w:ind w:firstLine="480"/>
      </w:pPr>
      <w:r>
        <w:rPr/>
        <w:t xml:space="preserve"> 如果我方在贵采购代理机构组织的</w:t>
      </w:r>
      <w:r>
        <w:rPr/>
        <w:t>晶圆级高密度激光辅助键合系统</w:t>
      </w:r>
      <w:r>
        <w:rPr/>
        <w:t>招标中获中标（采购项目编号：</w:t>
      </w:r>
      <w:r>
        <w:rPr/>
        <w:t>GZZJ-ZG-2025632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广州中经招标有限公司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广州中经招标有限公司</w:t>
      </w:r>
    </w:p>
    <w:p>
      <w:pPr>
        <w:pStyle w:val="null3"/>
        <w:ind w:firstLine="480"/>
      </w:pPr>
      <w:r>
        <w:rPr/>
        <w:t>我单位已登记并准备参与“</w:t>
      </w:r>
      <w:r>
        <w:rPr/>
        <w:t>晶圆级高密度激光辅助键合系统</w:t>
      </w:r>
      <w:r>
        <w:rPr/>
        <w:t>”项目（采购项目编号：</w:t>
      </w:r>
      <w:r>
        <w:rPr/>
        <w:t>GZZJ-ZG-2025632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