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8DC65">
      <w:pPr>
        <w:keepNext/>
        <w:snapToGrid w:val="0"/>
        <w:spacing w:line="300" w:lineRule="auto"/>
        <w:ind w:firstLine="1687"/>
        <w:jc w:val="center"/>
        <w:rPr>
          <w:rFonts w:hint="eastAsia" w:ascii="宋体" w:hAnsi="宋体" w:eastAsia="宋体" w:cs="宋体"/>
          <w:b/>
          <w:color w:val="auto"/>
          <w:kern w:val="0"/>
          <w:sz w:val="84"/>
          <w:szCs w:val="84"/>
          <w:highlight w:val="none"/>
        </w:rPr>
      </w:pPr>
    </w:p>
    <w:p w14:paraId="6D110F26">
      <w:pPr>
        <w:keepNext/>
        <w:snapToGrid w:val="0"/>
        <w:spacing w:line="300" w:lineRule="auto"/>
        <w:jc w:val="center"/>
        <w:rPr>
          <w:rFonts w:hint="eastAsia" w:ascii="宋体" w:hAnsi="宋体" w:eastAsia="宋体" w:cs="宋体"/>
          <w:b/>
          <w:color w:val="auto"/>
          <w:kern w:val="0"/>
          <w:sz w:val="84"/>
          <w:szCs w:val="84"/>
          <w:highlight w:val="none"/>
        </w:rPr>
      </w:pPr>
    </w:p>
    <w:p w14:paraId="1607ECBC">
      <w:pPr>
        <w:keepNext/>
        <w:snapToGrid w:val="0"/>
        <w:spacing w:line="300" w:lineRule="auto"/>
        <w:jc w:val="center"/>
        <w:rPr>
          <w:rFonts w:hint="eastAsia" w:ascii="宋体" w:hAnsi="宋体" w:eastAsia="宋体" w:cs="宋体"/>
          <w:b/>
          <w:color w:val="auto"/>
          <w:kern w:val="0"/>
          <w:sz w:val="84"/>
          <w:szCs w:val="84"/>
          <w:highlight w:val="none"/>
        </w:rPr>
      </w:pPr>
      <w:r>
        <w:rPr>
          <w:rFonts w:hint="eastAsia" w:ascii="宋体" w:hAnsi="宋体" w:eastAsia="宋体" w:cs="宋体"/>
          <w:b/>
          <w:color w:val="auto"/>
          <w:kern w:val="0"/>
          <w:sz w:val="84"/>
          <w:szCs w:val="84"/>
          <w:highlight w:val="none"/>
        </w:rPr>
        <w:t>招标文件</w:t>
      </w:r>
    </w:p>
    <w:p w14:paraId="184B2F7F">
      <w:pPr>
        <w:keepNext/>
        <w:snapToGrid w:val="0"/>
        <w:spacing w:line="300" w:lineRule="auto"/>
        <w:ind w:firstLine="1400" w:firstLineChars="500"/>
        <w:jc w:val="left"/>
        <w:rPr>
          <w:rFonts w:hint="eastAsia" w:ascii="宋体" w:hAnsi="宋体" w:eastAsia="宋体" w:cs="宋体"/>
          <w:color w:val="auto"/>
          <w:kern w:val="0"/>
          <w:sz w:val="28"/>
          <w:highlight w:val="none"/>
        </w:rPr>
      </w:pPr>
    </w:p>
    <w:p w14:paraId="05E5081D">
      <w:pPr>
        <w:keepNext/>
        <w:snapToGrid w:val="0"/>
        <w:spacing w:line="300" w:lineRule="auto"/>
        <w:ind w:firstLine="560"/>
        <w:jc w:val="center"/>
        <w:rPr>
          <w:rFonts w:hint="eastAsia" w:ascii="宋体" w:hAnsi="宋体" w:eastAsia="宋体" w:cs="宋体"/>
          <w:color w:val="auto"/>
          <w:kern w:val="0"/>
          <w:sz w:val="28"/>
          <w:highlight w:val="none"/>
        </w:rPr>
      </w:pPr>
    </w:p>
    <w:p w14:paraId="0E2A31EE">
      <w:pPr>
        <w:keepNext/>
        <w:snapToGrid w:val="0"/>
        <w:spacing w:line="300" w:lineRule="auto"/>
        <w:ind w:firstLine="1120" w:firstLineChars="400"/>
        <w:jc w:val="left"/>
        <w:rPr>
          <w:rFonts w:hint="eastAsia" w:ascii="宋体" w:hAnsi="宋体" w:eastAsia="宋体" w:cs="宋体"/>
          <w:color w:val="auto"/>
          <w:sz w:val="28"/>
          <w:szCs w:val="28"/>
          <w:highlight w:val="none"/>
        </w:rPr>
      </w:pPr>
    </w:p>
    <w:p w14:paraId="091A4128">
      <w:pPr>
        <w:keepNext/>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rPr>
        <w:t>项目名称：</w:t>
      </w:r>
      <w:r>
        <w:rPr>
          <w:rFonts w:hint="eastAsia" w:ascii="宋体" w:hAnsi="宋体" w:cs="宋体"/>
          <w:color w:val="auto"/>
          <w:spacing w:val="0"/>
          <w:sz w:val="28"/>
          <w:szCs w:val="28"/>
          <w:highlight w:val="none"/>
          <w:lang w:eastAsia="zh-CN"/>
        </w:rPr>
        <w:t>山西大学采购超稳激光器系统、微弱信号探测器、飞秒-纳秒激光加工系统等设备</w:t>
      </w:r>
    </w:p>
    <w:p w14:paraId="19D5783E">
      <w:pPr>
        <w:keepNext/>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宋体" w:hAnsi="宋体" w:eastAsia="宋体" w:cs="宋体"/>
          <w:color w:val="auto"/>
          <w:spacing w:val="0"/>
          <w:sz w:val="28"/>
          <w:szCs w:val="28"/>
          <w:highlight w:val="none"/>
          <w:lang w:val="en-US"/>
        </w:rPr>
      </w:pPr>
      <w:r>
        <w:rPr>
          <w:rFonts w:hint="eastAsia" w:ascii="宋体" w:hAnsi="宋体" w:eastAsia="宋体" w:cs="宋体"/>
          <w:color w:val="auto"/>
          <w:spacing w:val="0"/>
          <w:sz w:val="28"/>
          <w:szCs w:val="28"/>
          <w:highlight w:val="none"/>
        </w:rPr>
        <w:t>项目编号</w:t>
      </w:r>
      <w:r>
        <w:rPr>
          <w:rFonts w:hint="eastAsia" w:ascii="宋体" w:hAnsi="宋体" w:cs="宋体"/>
          <w:color w:val="auto"/>
          <w:spacing w:val="0"/>
          <w:sz w:val="28"/>
          <w:szCs w:val="28"/>
          <w:highlight w:val="none"/>
          <w:lang w:eastAsia="zh-CN"/>
        </w:rPr>
        <w:t>：1499002025AGK02688（SDJXGK-25081）</w:t>
      </w:r>
    </w:p>
    <w:p w14:paraId="0DA6EF47">
      <w:pPr>
        <w:pStyle w:val="19"/>
        <w:keepNext/>
        <w:spacing w:line="480" w:lineRule="auto"/>
        <w:ind w:firstLine="280"/>
        <w:rPr>
          <w:rFonts w:hint="eastAsia" w:ascii="宋体" w:hAnsi="宋体" w:eastAsia="宋体" w:cs="宋体"/>
          <w:color w:val="auto"/>
          <w:kern w:val="0"/>
          <w:sz w:val="24"/>
          <w:szCs w:val="22"/>
          <w:highlight w:val="none"/>
        </w:rPr>
      </w:pPr>
    </w:p>
    <w:p w14:paraId="1EAF51E2">
      <w:pPr>
        <w:rPr>
          <w:rFonts w:hint="eastAsia" w:ascii="宋体" w:hAnsi="宋体" w:eastAsia="宋体" w:cs="宋体"/>
          <w:color w:val="auto"/>
          <w:kern w:val="0"/>
          <w:sz w:val="28"/>
          <w:highlight w:val="none"/>
        </w:rPr>
      </w:pPr>
    </w:p>
    <w:p w14:paraId="7156A6D6">
      <w:pPr>
        <w:bidi w:val="0"/>
        <w:rPr>
          <w:rFonts w:hint="eastAsia"/>
          <w:color w:val="auto"/>
          <w:highlight w:val="none"/>
        </w:rPr>
      </w:pPr>
    </w:p>
    <w:p w14:paraId="1309B7FB">
      <w:pPr>
        <w:bidi w:val="0"/>
        <w:rPr>
          <w:rFonts w:hint="eastAsia"/>
          <w:color w:val="auto"/>
          <w:highlight w:val="none"/>
        </w:rPr>
      </w:pPr>
    </w:p>
    <w:p w14:paraId="196FED8F">
      <w:pPr>
        <w:bidi w:val="0"/>
        <w:rPr>
          <w:rFonts w:hint="eastAsia"/>
          <w:color w:val="auto"/>
          <w:highlight w:val="none"/>
        </w:rPr>
      </w:pPr>
    </w:p>
    <w:p w14:paraId="539AC76D">
      <w:pPr>
        <w:bidi w:val="0"/>
        <w:rPr>
          <w:rFonts w:hint="eastAsia"/>
          <w:color w:val="auto"/>
          <w:highlight w:val="none"/>
        </w:rPr>
      </w:pPr>
    </w:p>
    <w:p w14:paraId="2F6C83AA">
      <w:pPr>
        <w:bidi w:val="0"/>
        <w:rPr>
          <w:rFonts w:hint="eastAsia"/>
          <w:color w:val="auto"/>
          <w:highlight w:val="none"/>
        </w:rPr>
      </w:pPr>
    </w:p>
    <w:p w14:paraId="62A75885">
      <w:pPr>
        <w:bidi w:val="0"/>
        <w:rPr>
          <w:rFonts w:hint="eastAsia"/>
          <w:color w:val="auto"/>
          <w:highlight w:val="none"/>
        </w:rPr>
      </w:pPr>
    </w:p>
    <w:p w14:paraId="1EAE5FB4">
      <w:pPr>
        <w:bidi w:val="0"/>
        <w:rPr>
          <w:rFonts w:hint="eastAsia"/>
          <w:color w:val="auto"/>
          <w:highlight w:val="none"/>
        </w:rPr>
      </w:pPr>
    </w:p>
    <w:p w14:paraId="53F5ED8B">
      <w:pPr>
        <w:bidi w:val="0"/>
        <w:rPr>
          <w:rFonts w:hint="eastAsia"/>
          <w:color w:val="auto"/>
          <w:highlight w:val="none"/>
        </w:rPr>
      </w:pPr>
    </w:p>
    <w:p w14:paraId="58BBAE92">
      <w:pPr>
        <w:keepNext/>
        <w:spacing w:line="480" w:lineRule="auto"/>
        <w:ind w:firstLine="420"/>
        <w:rPr>
          <w:rFonts w:hint="eastAsia" w:ascii="宋体" w:hAnsi="宋体" w:eastAsia="宋体" w:cs="宋体"/>
          <w:color w:val="auto"/>
          <w:highlight w:val="none"/>
        </w:rPr>
      </w:pPr>
    </w:p>
    <w:p w14:paraId="0E4DBDA0">
      <w:pPr>
        <w:keepNext/>
        <w:keepLines w:val="0"/>
        <w:pageBreakBefore w:val="0"/>
        <w:widowControl w:val="0"/>
        <w:kinsoku/>
        <w:wordWrap/>
        <w:overflowPunct/>
        <w:topLinePunct w:val="0"/>
        <w:autoSpaceDE/>
        <w:autoSpaceDN/>
        <w:bidi w:val="0"/>
        <w:adjustRightInd/>
        <w:snapToGrid w:val="0"/>
        <w:spacing w:line="480" w:lineRule="auto"/>
        <w:ind w:firstLine="1687" w:firstLineChars="6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   购   人：</w:t>
      </w:r>
      <w:r>
        <w:rPr>
          <w:rFonts w:hint="eastAsia" w:ascii="宋体" w:hAnsi="宋体" w:cs="宋体"/>
          <w:b/>
          <w:bCs/>
          <w:color w:val="auto"/>
          <w:sz w:val="28"/>
          <w:szCs w:val="28"/>
          <w:highlight w:val="none"/>
          <w:lang w:eastAsia="zh-CN"/>
        </w:rPr>
        <w:t>山西大学</w:t>
      </w:r>
    </w:p>
    <w:p w14:paraId="12656400">
      <w:pPr>
        <w:keepNext/>
        <w:keepLines w:val="0"/>
        <w:pageBreakBefore w:val="0"/>
        <w:widowControl w:val="0"/>
        <w:kinsoku/>
        <w:wordWrap/>
        <w:overflowPunct/>
        <w:topLinePunct w:val="0"/>
        <w:autoSpaceDE/>
        <w:autoSpaceDN/>
        <w:bidi w:val="0"/>
        <w:adjustRightInd/>
        <w:snapToGrid w:val="0"/>
        <w:spacing w:line="480" w:lineRule="auto"/>
        <w:ind w:firstLine="1687" w:firstLineChars="6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采购代理机构：</w:t>
      </w:r>
      <w:r>
        <w:rPr>
          <w:rFonts w:hint="eastAsia" w:ascii="宋体" w:hAnsi="宋体" w:cs="宋体"/>
          <w:b/>
          <w:bCs/>
          <w:color w:val="auto"/>
          <w:sz w:val="28"/>
          <w:szCs w:val="28"/>
          <w:highlight w:val="none"/>
          <w:lang w:val="en-US" w:eastAsia="zh-CN"/>
        </w:rPr>
        <w:t>山西晋鑫项目管理有限公司</w:t>
      </w:r>
    </w:p>
    <w:p w14:paraId="5B763D9C">
      <w:pPr>
        <w:keepNext/>
        <w:keepLines w:val="0"/>
        <w:pageBreakBefore w:val="0"/>
        <w:widowControl w:val="0"/>
        <w:kinsoku/>
        <w:wordWrap/>
        <w:overflowPunct/>
        <w:topLinePunct w:val="0"/>
        <w:autoSpaceDE/>
        <w:autoSpaceDN/>
        <w:bidi w:val="0"/>
        <w:adjustRightInd/>
        <w:snapToGrid w:val="0"/>
        <w:spacing w:line="480" w:lineRule="auto"/>
        <w:ind w:firstLine="1687" w:firstLineChars="6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        期：二〇二</w:t>
      </w: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月</w:t>
      </w:r>
    </w:p>
    <w:p w14:paraId="332A5822">
      <w:pPr>
        <w:keepNext/>
        <w:snapToGrid w:val="0"/>
        <w:spacing w:line="300" w:lineRule="auto"/>
        <w:ind w:firstLine="560"/>
        <w:jc w:val="center"/>
        <w:rPr>
          <w:rFonts w:hint="eastAsia" w:ascii="宋体" w:hAnsi="宋体" w:eastAsia="宋体" w:cs="宋体"/>
          <w:color w:val="auto"/>
          <w:kern w:val="0"/>
          <w:sz w:val="28"/>
          <w:szCs w:val="36"/>
          <w:highlight w:val="none"/>
          <w:lang w:eastAsia="zh-CN"/>
        </w:rPr>
      </w:pPr>
      <w:r>
        <w:rPr>
          <w:rFonts w:hint="eastAsia" w:ascii="宋体" w:hAnsi="宋体" w:eastAsia="宋体" w:cs="宋体"/>
          <w:color w:val="auto"/>
          <w:kern w:val="0"/>
          <w:sz w:val="28"/>
          <w:szCs w:val="36"/>
          <w:highlight w:val="none"/>
          <w:lang w:eastAsia="zh-CN"/>
        </w:rPr>
        <w:br w:type="page"/>
      </w:r>
    </w:p>
    <w:p w14:paraId="5B8C7656">
      <w:pPr>
        <w:keepNext/>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561"/>
        <w:jc w:val="center"/>
        <w:textAlignment w:val="auto"/>
        <w:rPr>
          <w:rFonts w:hint="eastAsia" w:ascii="宋体" w:hAnsi="宋体" w:eastAsia="宋体" w:cs="宋体"/>
          <w:color w:val="auto"/>
          <w:kern w:val="0"/>
          <w:sz w:val="40"/>
          <w:szCs w:val="40"/>
          <w:highlight w:val="none"/>
        </w:rPr>
      </w:pPr>
      <w:r>
        <w:rPr>
          <w:rFonts w:hint="eastAsia" w:ascii="宋体" w:hAnsi="宋体" w:eastAsia="宋体" w:cs="宋体"/>
          <w:b/>
          <w:bCs/>
          <w:color w:val="auto"/>
          <w:kern w:val="0"/>
          <w:sz w:val="32"/>
          <w:szCs w:val="32"/>
          <w:highlight w:val="none"/>
        </w:rPr>
        <w:t xml:space="preserve">目  </w:t>
      </w:r>
      <w:r>
        <w:rPr>
          <w:rFonts w:hint="eastAsia" w:ascii="宋体" w:hAnsi="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录</w:t>
      </w:r>
    </w:p>
    <w:p w14:paraId="787146E1">
      <w:pPr>
        <w:pStyle w:val="14"/>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color w:val="auto"/>
          <w:kern w:val="0"/>
          <w:sz w:val="24"/>
          <w:szCs w:val="24"/>
          <w:highlight w:val="none"/>
        </w:rPr>
        <w:instrText xml:space="preserve"> TOC \o "1-2" \h \z \u </w:instrText>
      </w:r>
      <w:r>
        <w:rPr>
          <w:rFonts w:hint="eastAsia" w:ascii="宋体" w:hAnsi="宋体" w:eastAsia="宋体" w:cs="宋体"/>
          <w:b w:val="0"/>
          <w:bCs w:val="0"/>
          <w:color w:val="auto"/>
          <w:kern w:val="0"/>
          <w:sz w:val="24"/>
          <w:szCs w:val="24"/>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"_Toc180347448"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第一部分  招标公告</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_Toc180347448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672FF03E">
      <w:pPr>
        <w:pStyle w:val="14"/>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"_Toc180347449"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第二部分  投标人须知前附表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_Toc180347449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6C41B335">
      <w:pPr>
        <w:pStyle w:val="14"/>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"_Toc180347451"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第三部分  投标人须知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3CD467E">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"_Toc180347452"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一、总则</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DFB2878">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"_Toc180347453"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二、招标文件组成、澄清和修改</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16</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D7A31E3">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"_Toc180347454"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三、投标文件组成、编制与要求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17</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3D0CD8DF">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"_Toc180347455"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四、投标保证金</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967A643">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"_Toc180347456"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五、资格审查小组、评标委员会组成与职责</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7C3707C">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"_Toc180347457"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六、代理机构的职责</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521D51D">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"_Toc180347458"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七、评审和评定程序与要求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10ACB0F5">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"_Toc180347459"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八、签订合同</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_Toc180347459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DAD9E88">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"_Toc180347460"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九、保密和披露</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_Toc180347460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6D418ED5">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"_Toc180347461"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十、询问和质疑</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_Toc180347461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A4DC58D">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"_Toc180347462"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十一、违法违规行为</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_Toc180347462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36</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A075637">
      <w:pPr>
        <w:pStyle w:val="15"/>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"_Toc180347463"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十二、政府采购政策性要求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_Toc180347463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38</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0CBC09D">
      <w:pPr>
        <w:pStyle w:val="14"/>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"_Toc180347464"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第四部分   评审方法和评审标准</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_Toc180347464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16954E99">
      <w:pPr>
        <w:pStyle w:val="14"/>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"_Toc180347469"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第五部分  商务、技术要求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lang w:val="en-US" w:eastAsia="zh-CN"/>
        </w:rPr>
        <w:t>7</w:t>
      </w:r>
    </w:p>
    <w:p w14:paraId="49ABD512">
      <w:pPr>
        <w:pStyle w:val="14"/>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"_Toc180347470"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第六部分  拟签订的合同文本</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_Toc180347470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50</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2838D57">
      <w:pPr>
        <w:pStyle w:val="14"/>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"_Toc180347474"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第七部分  投标文件格式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_Toc180347474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C76BE4B">
      <w:pPr>
        <w:pStyle w:val="14"/>
        <w:keepLines w:val="0"/>
        <w:pageBreakBefore w:val="0"/>
        <w:widowControl w:val="0"/>
        <w:tabs>
          <w:tab w:val="right" w:leader="dot" w:pos="906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"_Toc180347501" </w:instrText>
      </w:r>
      <w:r>
        <w:rPr>
          <w:rFonts w:hint="eastAsia" w:ascii="宋体" w:hAnsi="宋体" w:eastAsia="宋体" w:cs="宋体"/>
          <w:b w:val="0"/>
          <w:bCs w:val="0"/>
          <w:color w:val="auto"/>
          <w:sz w:val="24"/>
          <w:szCs w:val="24"/>
          <w:highlight w:val="none"/>
        </w:rPr>
        <w:fldChar w:fldCharType="separate"/>
      </w:r>
      <w:r>
        <w:rPr>
          <w:rStyle w:val="23"/>
          <w:rFonts w:hint="eastAsia" w:ascii="宋体" w:hAnsi="宋体" w:eastAsia="宋体" w:cs="宋体"/>
          <w:b w:val="0"/>
          <w:bCs w:val="0"/>
          <w:color w:val="auto"/>
          <w:kern w:val="0"/>
          <w:sz w:val="24"/>
          <w:szCs w:val="24"/>
          <w:highlight w:val="none"/>
        </w:rPr>
        <w:t>第八部分  相关附件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_Toc180347501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C28E017">
      <w:pPr>
        <w:keepNext/>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0"/>
          <w:sz w:val="28"/>
          <w:szCs w:val="30"/>
          <w:highlight w:val="none"/>
        </w:rPr>
      </w:pPr>
      <w:r>
        <w:rPr>
          <w:rFonts w:hint="eastAsia" w:ascii="宋体" w:hAnsi="宋体" w:eastAsia="宋体" w:cs="宋体"/>
          <w:b w:val="0"/>
          <w:bCs w:val="0"/>
          <w:color w:val="auto"/>
          <w:kern w:val="0"/>
          <w:sz w:val="24"/>
          <w:szCs w:val="24"/>
          <w:highlight w:val="none"/>
        </w:rPr>
        <w:fldChar w:fldCharType="end"/>
      </w:r>
    </w:p>
    <w:p w14:paraId="017AD850">
      <w:pPr>
        <w:keepNext/>
        <w:tabs>
          <w:tab w:val="left" w:pos="2070"/>
          <w:tab w:val="center" w:pos="4365"/>
        </w:tabs>
        <w:adjustRightInd w:val="0"/>
        <w:snapToGrid w:val="0"/>
        <w:spacing w:line="360" w:lineRule="auto"/>
        <w:ind w:firstLine="643"/>
        <w:jc w:val="center"/>
        <w:outlineLvl w:val="0"/>
        <w:rPr>
          <w:rFonts w:hint="eastAsia" w:ascii="宋体" w:hAnsi="宋体" w:eastAsia="宋体" w:cs="宋体"/>
          <w:b/>
          <w:color w:val="auto"/>
          <w:kern w:val="0"/>
          <w:sz w:val="32"/>
          <w:szCs w:val="32"/>
          <w:highlight w:val="none"/>
        </w:rPr>
        <w:sectPr>
          <w:pgSz w:w="11906" w:h="16838"/>
          <w:pgMar w:top="1418" w:right="1418" w:bottom="1418" w:left="1418" w:header="851" w:footer="992" w:gutter="0"/>
          <w:pgNumType w:fmt="decimal" w:start="1"/>
          <w:cols w:space="425" w:num="1"/>
          <w:titlePg/>
          <w:docGrid w:linePitch="312" w:charSpace="0"/>
        </w:sectPr>
      </w:pPr>
      <w:bookmarkStart w:id="0" w:name="_Toc28085"/>
      <w:bookmarkStart w:id="1" w:name="_Toc180347448"/>
    </w:p>
    <w:p w14:paraId="3B2518C8">
      <w:pPr>
        <w:pStyle w:val="26"/>
        <w:keepNext/>
        <w:spacing w:line="360" w:lineRule="auto"/>
        <w:ind w:firstLine="480"/>
        <w:jc w:val="center"/>
        <w:rPr>
          <w:rFonts w:hint="eastAsia" w:ascii="宋体" w:hAnsi="宋体" w:eastAsia="宋体" w:cs="宋体"/>
          <w:color w:val="auto"/>
          <w:sz w:val="24"/>
          <w:highlight w:val="none"/>
        </w:rPr>
      </w:pPr>
      <w:r>
        <w:rPr>
          <w:rFonts w:hint="eastAsia" w:ascii="宋体" w:hAnsi="宋体" w:eastAsia="宋体" w:cs="宋体"/>
          <w:b/>
          <w:color w:val="auto"/>
          <w:kern w:val="0"/>
          <w:sz w:val="32"/>
          <w:szCs w:val="32"/>
          <w:highlight w:val="none"/>
        </w:rPr>
        <w:t xml:space="preserve">第一部分 </w:t>
      </w:r>
      <w:bookmarkEnd w:id="0"/>
      <w:r>
        <w:rPr>
          <w:rFonts w:hint="eastAsia" w:ascii="宋体" w:hAnsi="宋体" w:eastAsia="宋体" w:cs="宋体"/>
          <w:b/>
          <w:color w:val="auto"/>
          <w:kern w:val="0"/>
          <w:sz w:val="32"/>
          <w:szCs w:val="32"/>
          <w:highlight w:val="none"/>
        </w:rPr>
        <w:t xml:space="preserve"> 招标公告</w:t>
      </w:r>
      <w:bookmarkEnd w:id="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7"/>
      </w:tblGrid>
      <w:tr w14:paraId="594F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9237" w:type="dxa"/>
            <w:tcBorders>
              <w:top w:val="single" w:color="auto" w:sz="4" w:space="0"/>
              <w:left w:val="single" w:color="auto" w:sz="4" w:space="0"/>
              <w:bottom w:val="single" w:color="auto" w:sz="4" w:space="0"/>
              <w:right w:val="single" w:color="auto" w:sz="4" w:space="0"/>
            </w:tcBorders>
          </w:tcPr>
          <w:p w14:paraId="142E53FE">
            <w:pPr>
              <w:pStyle w:val="26"/>
              <w:keepNext/>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项目概况</w:t>
            </w:r>
          </w:p>
          <w:p w14:paraId="76A6387D">
            <w:pPr>
              <w:pStyle w:val="26"/>
              <w:keepNext/>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Cs w:val="21"/>
                <w:highlight w:val="none"/>
              </w:rPr>
            </w:pPr>
            <w:r>
              <w:rPr>
                <w:rFonts w:hint="eastAsia" w:ascii="宋体" w:hAnsi="宋体" w:cs="宋体"/>
                <w:color w:val="auto"/>
                <w:sz w:val="24"/>
                <w:highlight w:val="none"/>
                <w:u w:val="none"/>
                <w:lang w:eastAsia="zh-CN"/>
              </w:rPr>
              <w:t>山西大学采购超稳激光器系统、微弱信号探测器、飞秒-纳秒激光加工系统等设备招标项目的潜在投标人应在政采云平台线上获取招标文件，并于2025年</w:t>
            </w:r>
            <w:r>
              <w:rPr>
                <w:rFonts w:hint="eastAsia" w:ascii="宋体" w:hAnsi="宋体" w:cs="宋体"/>
                <w:color w:val="auto"/>
                <w:sz w:val="24"/>
                <w:highlight w:val="none"/>
                <w:u w:val="none"/>
                <w:lang w:val="en-US" w:eastAsia="zh-CN"/>
              </w:rPr>
              <w:t>10</w:t>
            </w:r>
            <w:r>
              <w:rPr>
                <w:rFonts w:hint="eastAsia" w:ascii="宋体" w:hAnsi="宋体" w:cs="宋体"/>
                <w:color w:val="auto"/>
                <w:sz w:val="24"/>
                <w:highlight w:val="none"/>
                <w:u w:val="none"/>
                <w:lang w:eastAsia="zh-CN"/>
              </w:rPr>
              <w:t>月</w:t>
            </w:r>
            <w:r>
              <w:rPr>
                <w:rFonts w:hint="eastAsia" w:ascii="宋体" w:hAnsi="宋体" w:cs="宋体"/>
                <w:color w:val="auto"/>
                <w:sz w:val="24"/>
                <w:highlight w:val="none"/>
                <w:u w:val="none"/>
                <w:lang w:val="en-US" w:eastAsia="zh-CN"/>
              </w:rPr>
              <w:t>20</w:t>
            </w:r>
            <w:r>
              <w:rPr>
                <w:rFonts w:hint="eastAsia" w:ascii="宋体" w:hAnsi="宋体" w:cs="宋体"/>
                <w:color w:val="auto"/>
                <w:sz w:val="24"/>
                <w:highlight w:val="none"/>
                <w:u w:val="none"/>
                <w:lang w:eastAsia="zh-CN"/>
              </w:rPr>
              <w:t>日09:</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lang w:eastAsia="zh-CN"/>
              </w:rPr>
              <w:t>（北京时间）前递交投标文件。</w:t>
            </w:r>
          </w:p>
        </w:tc>
      </w:tr>
    </w:tbl>
    <w:p w14:paraId="2CE3C407">
      <w:pPr>
        <w:pStyle w:val="26"/>
        <w:keepNext/>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一、项目基本情况</w:t>
      </w:r>
    </w:p>
    <w:p w14:paraId="2A7BEAE3">
      <w:pPr>
        <w:pStyle w:val="26"/>
        <w:keepNext/>
        <w:spacing w:line="360" w:lineRule="auto"/>
        <w:ind w:firstLine="456"/>
        <w:rPr>
          <w:rFonts w:hint="default"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rPr>
        <w:t>项目编号：</w:t>
      </w:r>
      <w:r>
        <w:rPr>
          <w:rFonts w:hint="eastAsia" w:ascii="宋体" w:hAnsi="宋体" w:eastAsia="宋体" w:cs="宋体"/>
          <w:color w:val="auto"/>
          <w:spacing w:val="-6"/>
          <w:sz w:val="24"/>
          <w:highlight w:val="none"/>
          <w:lang w:eastAsia="zh-CN"/>
        </w:rPr>
        <w:t>1499002025AGK02688（SDJXGK-25081）</w:t>
      </w:r>
    </w:p>
    <w:p w14:paraId="24525B2A">
      <w:pPr>
        <w:pStyle w:val="26"/>
        <w:keepNext/>
        <w:spacing w:line="360" w:lineRule="auto"/>
        <w:ind w:firstLine="456"/>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rPr>
        <w:t>项目名称：</w:t>
      </w:r>
      <w:r>
        <w:rPr>
          <w:rFonts w:hint="eastAsia" w:ascii="宋体" w:hAnsi="宋体" w:cs="宋体"/>
          <w:color w:val="auto"/>
          <w:spacing w:val="-6"/>
          <w:sz w:val="24"/>
          <w:highlight w:val="none"/>
          <w:lang w:eastAsia="zh-CN"/>
        </w:rPr>
        <w:t>山西大学采购超稳激光器系统、微弱信号探测器、飞秒-纳秒激光加工系统等设备</w:t>
      </w:r>
    </w:p>
    <w:p w14:paraId="23790FB2">
      <w:pPr>
        <w:pStyle w:val="26"/>
        <w:keepNext/>
        <w:spacing w:line="360" w:lineRule="auto"/>
        <w:ind w:firstLine="456"/>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预算金额</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元</w:t>
      </w:r>
      <w:r>
        <w:rPr>
          <w:rFonts w:hint="eastAsia" w:ascii="宋体" w:hAnsi="宋体" w:cs="宋体"/>
          <w:color w:val="auto"/>
          <w:spacing w:val="-6"/>
          <w:sz w:val="24"/>
          <w:highlight w:val="none"/>
          <w:lang w:eastAsia="zh-CN"/>
        </w:rPr>
        <w:t>）</w:t>
      </w:r>
      <w:r>
        <w:rPr>
          <w:rFonts w:hint="eastAsia" w:ascii="宋体" w:hAnsi="宋体" w:eastAsia="宋体" w:cs="宋体"/>
          <w:color w:val="auto"/>
          <w:spacing w:val="-6"/>
          <w:sz w:val="24"/>
          <w:highlight w:val="none"/>
        </w:rPr>
        <w:t>：</w:t>
      </w:r>
      <w:r>
        <w:rPr>
          <w:rFonts w:hint="eastAsia" w:ascii="宋体" w:hAnsi="宋体" w:cs="宋体"/>
          <w:color w:val="auto"/>
          <w:spacing w:val="-6"/>
          <w:sz w:val="24"/>
          <w:highlight w:val="none"/>
          <w:lang w:val="en-US" w:eastAsia="zh-CN"/>
        </w:rPr>
        <w:t>12135000</w:t>
      </w:r>
    </w:p>
    <w:p w14:paraId="57332BD2">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rPr>
        <w:t>最高限价</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元</w:t>
      </w:r>
      <w:r>
        <w:rPr>
          <w:rFonts w:hint="eastAsia" w:ascii="宋体" w:hAnsi="宋体" w:cs="宋体"/>
          <w:color w:val="auto"/>
          <w:spacing w:val="-6"/>
          <w:sz w:val="24"/>
          <w:highlight w:val="none"/>
          <w:lang w:eastAsia="zh-CN"/>
        </w:rPr>
        <w:t>）</w:t>
      </w:r>
      <w:r>
        <w:rPr>
          <w:rFonts w:hint="eastAsia" w:ascii="宋体" w:hAnsi="宋体" w:eastAsia="宋体" w:cs="宋体"/>
          <w:color w:val="auto"/>
          <w:spacing w:val="-6"/>
          <w:sz w:val="24"/>
          <w:highlight w:val="none"/>
        </w:rPr>
        <w:t>：</w:t>
      </w:r>
      <w:r>
        <w:rPr>
          <w:rFonts w:hint="eastAsia" w:ascii="宋体" w:hAnsi="宋体" w:cs="宋体"/>
          <w:color w:val="auto"/>
          <w:spacing w:val="-6"/>
          <w:sz w:val="24"/>
          <w:highlight w:val="none"/>
          <w:lang w:val="en-US" w:eastAsia="zh-CN"/>
        </w:rPr>
        <w:t>12135000</w:t>
      </w:r>
    </w:p>
    <w:p w14:paraId="1D089288">
      <w:pPr>
        <w:pStyle w:val="26"/>
        <w:keepNext/>
        <w:spacing w:line="360" w:lineRule="auto"/>
        <w:ind w:firstLine="456"/>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采购需求：</w:t>
      </w:r>
    </w:p>
    <w:p w14:paraId="2757902A">
      <w:pPr>
        <w:pStyle w:val="26"/>
        <w:keepNext/>
        <w:spacing w:line="360" w:lineRule="auto"/>
        <w:ind w:firstLine="456"/>
        <w:rPr>
          <w:rFonts w:hint="default"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rPr>
        <w:t>标项名称:</w:t>
      </w:r>
      <w:r>
        <w:rPr>
          <w:rFonts w:hint="eastAsia" w:ascii="宋体" w:hAnsi="宋体" w:cs="宋体"/>
          <w:color w:val="auto"/>
          <w:spacing w:val="-6"/>
          <w:sz w:val="24"/>
          <w:highlight w:val="none"/>
          <w:lang w:val="en-US" w:eastAsia="zh-CN"/>
        </w:rPr>
        <w:t>包1</w:t>
      </w:r>
    </w:p>
    <w:p w14:paraId="4712882F">
      <w:pPr>
        <w:pStyle w:val="26"/>
        <w:keepNext/>
        <w:spacing w:line="360" w:lineRule="auto"/>
        <w:ind w:firstLine="456"/>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数量:</w:t>
      </w:r>
      <w:r>
        <w:rPr>
          <w:rFonts w:hint="eastAsia" w:ascii="宋体" w:hAnsi="宋体" w:eastAsia="宋体" w:cs="宋体"/>
          <w:color w:val="auto"/>
          <w:spacing w:val="-6"/>
          <w:sz w:val="24"/>
          <w:highlight w:val="none"/>
        </w:rPr>
        <w:br w:type="textWrapping"/>
      </w:r>
      <w:r>
        <w:rPr>
          <w:rFonts w:hint="eastAsia" w:ascii="宋体" w:hAnsi="宋体" w:eastAsia="宋体" w:cs="宋体"/>
          <w:color w:val="auto"/>
          <w:spacing w:val="-6"/>
          <w:sz w:val="24"/>
          <w:highlight w:val="none"/>
        </w:rPr>
        <w:t>   预算金额（元）：</w:t>
      </w:r>
      <w:r>
        <w:rPr>
          <w:rFonts w:hint="eastAsia" w:ascii="宋体" w:hAnsi="宋体" w:cs="宋体"/>
          <w:color w:val="auto"/>
          <w:spacing w:val="-6"/>
          <w:sz w:val="24"/>
          <w:highlight w:val="none"/>
          <w:lang w:eastAsia="zh-CN"/>
        </w:rPr>
        <w:t>12135000</w:t>
      </w:r>
      <w:r>
        <w:rPr>
          <w:rFonts w:hint="eastAsia" w:ascii="宋体" w:hAnsi="宋体" w:eastAsia="宋体" w:cs="宋体"/>
          <w:color w:val="auto"/>
          <w:spacing w:val="-6"/>
          <w:sz w:val="24"/>
          <w:highlight w:val="none"/>
        </w:rPr>
        <w:br w:type="textWrapping"/>
      </w:r>
      <w:r>
        <w:rPr>
          <w:rFonts w:hint="eastAsia" w:ascii="宋体" w:hAnsi="宋体" w:eastAsia="宋体" w:cs="宋体"/>
          <w:color w:val="auto"/>
          <w:spacing w:val="-6"/>
          <w:sz w:val="24"/>
          <w:highlight w:val="none"/>
        </w:rPr>
        <w:t>   简要规格描述或项目基本概况介绍、用途：本项目拟购置矢量网络分析仪1台、微弱信号探测器1台、频谱分析仪1台、太赫兹信号源1台、任意波形发生器1台、飞秒-纳秒激光加工系统1套、YAG 激光器1台、1064nm单频激光器1台、超稳激光器系统1套</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详见招标文件技术要求</w:t>
      </w:r>
      <w:r>
        <w:rPr>
          <w:rFonts w:hint="eastAsia" w:ascii="宋体" w:hAnsi="宋体" w:eastAsia="宋体" w:cs="宋体"/>
          <w:color w:val="auto"/>
          <w:spacing w:val="-6"/>
          <w:sz w:val="24"/>
          <w:highlight w:val="none"/>
        </w:rPr>
        <w:t>。</w:t>
      </w:r>
    </w:p>
    <w:p w14:paraId="158CB0B1">
      <w:pPr>
        <w:pStyle w:val="26"/>
        <w:keepNext/>
        <w:spacing w:line="360" w:lineRule="auto"/>
        <w:ind w:firstLine="456"/>
        <w:rPr>
          <w:rFonts w:hint="default"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rPr>
        <w:t>备注：</w:t>
      </w:r>
      <w:r>
        <w:rPr>
          <w:rFonts w:hint="eastAsia" w:ascii="宋体" w:hAnsi="宋体" w:cs="宋体"/>
          <w:color w:val="auto"/>
          <w:spacing w:val="-6"/>
          <w:sz w:val="24"/>
          <w:highlight w:val="none"/>
          <w:lang w:val="en-US" w:eastAsia="zh-CN"/>
        </w:rPr>
        <w:t>进口产品</w:t>
      </w:r>
    </w:p>
    <w:p w14:paraId="3FCB0FA8">
      <w:pPr>
        <w:pStyle w:val="26"/>
        <w:keepNext/>
        <w:spacing w:line="360" w:lineRule="auto"/>
        <w:ind w:firstLine="456"/>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合同履约期限：包1，</w:t>
      </w:r>
      <w:r>
        <w:rPr>
          <w:rFonts w:hint="eastAsia" w:ascii="宋体" w:hAnsi="宋体" w:cs="宋体"/>
          <w:color w:val="auto"/>
          <w:spacing w:val="-6"/>
          <w:sz w:val="24"/>
          <w:highlight w:val="none"/>
          <w:lang w:eastAsia="zh-CN"/>
        </w:rPr>
        <w:t>合同签订之日起360日内</w:t>
      </w:r>
      <w:r>
        <w:rPr>
          <w:rFonts w:hint="eastAsia" w:ascii="宋体" w:hAnsi="宋体" w:eastAsia="宋体" w:cs="宋体"/>
          <w:color w:val="auto"/>
          <w:spacing w:val="-6"/>
          <w:sz w:val="24"/>
          <w:highlight w:val="none"/>
        </w:rPr>
        <w:t>。</w:t>
      </w:r>
    </w:p>
    <w:p w14:paraId="0F1F63DF">
      <w:pPr>
        <w:pStyle w:val="26"/>
        <w:keepNext/>
        <w:spacing w:line="360" w:lineRule="auto"/>
        <w:ind w:firstLine="456"/>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本项目（否）接受联合体投标。</w:t>
      </w:r>
    </w:p>
    <w:p w14:paraId="00407F7B">
      <w:pPr>
        <w:pStyle w:val="26"/>
        <w:keepNext/>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二、申请人的资格要求</w:t>
      </w:r>
    </w:p>
    <w:p w14:paraId="4475B603">
      <w:pPr>
        <w:pStyle w:val="26"/>
        <w:keepNex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DFDB78F">
      <w:pPr>
        <w:pStyle w:val="26"/>
        <w:keepNext/>
        <w:spacing w:line="360" w:lineRule="auto"/>
        <w:ind w:firstLine="48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2.落实政府采购政策需满足的资格要求：</w:t>
      </w:r>
      <w:r>
        <w:rPr>
          <w:rFonts w:hint="eastAsia" w:ascii="宋体" w:hAnsi="宋体" w:cs="宋体"/>
          <w:color w:val="auto"/>
          <w:sz w:val="24"/>
          <w:highlight w:val="none"/>
          <w:lang w:val="en-US" w:eastAsia="zh-CN"/>
        </w:rPr>
        <w:t>包1：</w:t>
      </w:r>
      <w:r>
        <w:rPr>
          <w:rFonts w:hint="eastAsia" w:ascii="宋体" w:hAnsi="宋体" w:eastAsia="宋体" w:cs="宋体"/>
          <w:color w:val="auto"/>
          <w:sz w:val="24"/>
          <w:highlight w:val="none"/>
          <w:lang w:eastAsia="zh-CN"/>
        </w:rPr>
        <w:t>无</w:t>
      </w:r>
    </w:p>
    <w:p w14:paraId="376C49F4">
      <w:pPr>
        <w:pStyle w:val="26"/>
        <w:keepNext/>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本项目的</w:t>
      </w:r>
      <w:r>
        <w:rPr>
          <w:rFonts w:hint="eastAsia" w:ascii="宋体" w:hAnsi="宋体" w:eastAsia="宋体" w:cs="宋体"/>
          <w:color w:val="auto"/>
          <w:sz w:val="24"/>
          <w:highlight w:val="none"/>
        </w:rPr>
        <w:t>特定资格条件：</w:t>
      </w:r>
      <w:r>
        <w:rPr>
          <w:rFonts w:hint="eastAsia" w:ascii="宋体" w:hAnsi="宋体" w:cs="宋体"/>
          <w:color w:val="auto"/>
          <w:sz w:val="24"/>
          <w:highlight w:val="none"/>
          <w:lang w:val="en-US" w:eastAsia="zh-CN"/>
        </w:rPr>
        <w:t>无</w:t>
      </w:r>
    </w:p>
    <w:p w14:paraId="004F4F73">
      <w:pPr>
        <w:pStyle w:val="26"/>
        <w:keepNext/>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p>
    <w:p w14:paraId="7770FFED">
      <w:pPr>
        <w:keepNext/>
        <w:adjustRightInd w:val="0"/>
        <w:spacing w:line="360" w:lineRule="auto"/>
        <w:ind w:firstLine="480" w:firstLineChars="2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时间：</w:t>
      </w:r>
      <w:r>
        <w:rPr>
          <w:rFonts w:hint="eastAsia" w:ascii="宋体" w:hAnsi="宋体" w:eastAsia="宋体" w:cs="宋体"/>
          <w:color w:val="auto"/>
          <w:sz w:val="24"/>
          <w:szCs w:val="22"/>
          <w:highlight w:val="none"/>
          <w:lang w:val="en-US" w:eastAsia="zh-CN"/>
        </w:rPr>
        <w:t>2025年0</w:t>
      </w:r>
      <w:r>
        <w:rPr>
          <w:rFonts w:hint="eastAsia" w:ascii="宋体" w:hAnsi="宋体" w:cs="宋体"/>
          <w:color w:val="auto"/>
          <w:sz w:val="24"/>
          <w:szCs w:val="22"/>
          <w:highlight w:val="none"/>
          <w:lang w:val="en-US" w:eastAsia="zh-CN"/>
        </w:rPr>
        <w:t>9</w:t>
      </w:r>
      <w:r>
        <w:rPr>
          <w:rFonts w:hint="eastAsia" w:ascii="宋体" w:hAnsi="宋体" w:eastAsia="宋体" w:cs="宋体"/>
          <w:color w:val="auto"/>
          <w:sz w:val="24"/>
          <w:szCs w:val="22"/>
          <w:highlight w:val="none"/>
          <w:lang w:val="en-US" w:eastAsia="zh-CN"/>
        </w:rPr>
        <w:t>月</w:t>
      </w:r>
      <w:r>
        <w:rPr>
          <w:rFonts w:hint="eastAsia" w:ascii="宋体" w:hAnsi="宋体" w:cs="宋体"/>
          <w:color w:val="auto"/>
          <w:sz w:val="24"/>
          <w:szCs w:val="22"/>
          <w:highlight w:val="none"/>
          <w:lang w:val="en-US" w:eastAsia="zh-CN"/>
        </w:rPr>
        <w:t>28</w:t>
      </w:r>
      <w:r>
        <w:rPr>
          <w:rFonts w:hint="eastAsia" w:ascii="宋体" w:hAnsi="宋体" w:eastAsia="宋体" w:cs="宋体"/>
          <w:color w:val="auto"/>
          <w:sz w:val="24"/>
          <w:szCs w:val="22"/>
          <w:highlight w:val="none"/>
          <w:lang w:val="en-US" w:eastAsia="zh-CN"/>
        </w:rPr>
        <w:t>日至2025年</w:t>
      </w:r>
      <w:r>
        <w:rPr>
          <w:rFonts w:hint="eastAsia" w:ascii="宋体" w:hAnsi="宋体" w:cs="宋体"/>
          <w:color w:val="auto"/>
          <w:sz w:val="24"/>
          <w:szCs w:val="22"/>
          <w:highlight w:val="none"/>
          <w:lang w:val="en-US" w:eastAsia="zh-CN"/>
        </w:rPr>
        <w:t>10</w:t>
      </w:r>
      <w:r>
        <w:rPr>
          <w:rFonts w:hint="eastAsia" w:ascii="宋体" w:hAnsi="宋体" w:eastAsia="宋体" w:cs="宋体"/>
          <w:color w:val="auto"/>
          <w:sz w:val="24"/>
          <w:szCs w:val="22"/>
          <w:highlight w:val="none"/>
          <w:lang w:val="en-US" w:eastAsia="zh-CN"/>
        </w:rPr>
        <w:t>月</w:t>
      </w:r>
      <w:r>
        <w:rPr>
          <w:rFonts w:hint="eastAsia" w:ascii="宋体" w:hAnsi="宋体" w:cs="宋体"/>
          <w:color w:val="auto"/>
          <w:sz w:val="24"/>
          <w:szCs w:val="22"/>
          <w:highlight w:val="none"/>
          <w:lang w:val="en-US" w:eastAsia="zh-CN"/>
        </w:rPr>
        <w:t>11</w:t>
      </w:r>
      <w:r>
        <w:rPr>
          <w:rFonts w:hint="eastAsia" w:ascii="宋体" w:hAnsi="宋体" w:eastAsia="宋体" w:cs="宋体"/>
          <w:color w:val="auto"/>
          <w:sz w:val="24"/>
          <w:szCs w:val="22"/>
          <w:highlight w:val="none"/>
          <w:lang w:val="en-US" w:eastAsia="zh-CN"/>
        </w:rPr>
        <w:t>日</w:t>
      </w:r>
      <w:r>
        <w:rPr>
          <w:rFonts w:hint="eastAsia" w:ascii="Times New Roman" w:hAnsi="Times New Roman" w:eastAsia="宋体" w:cs="Times New Roman"/>
          <w:color w:val="auto"/>
          <w:kern w:val="2"/>
          <w:sz w:val="24"/>
          <w:szCs w:val="24"/>
          <w:highlight w:val="none"/>
          <w:lang w:val="en-US" w:eastAsia="zh-CN" w:bidi="ar-SA"/>
        </w:rPr>
        <w:t>，每天上午00:00至12:00，</w:t>
      </w:r>
      <w:r>
        <w:rPr>
          <w:rFonts w:hint="eastAsia" w:ascii="宋体" w:hAnsi="宋体" w:eastAsia="宋体" w:cs="宋体"/>
          <w:color w:val="auto"/>
          <w:sz w:val="24"/>
          <w:szCs w:val="22"/>
          <w:highlight w:val="none"/>
          <w:lang w:val="en-US" w:eastAsia="zh-CN"/>
        </w:rPr>
        <w:t>下午12:00至23:59（北京时间，法定节假日除外）</w:t>
      </w:r>
    </w:p>
    <w:p w14:paraId="08574DBF">
      <w:pPr>
        <w:keepNext/>
        <w:adjustRightInd w:val="0"/>
        <w:spacing w:line="360" w:lineRule="auto"/>
        <w:ind w:firstLine="480" w:firstLineChars="200"/>
        <w:jc w:val="lef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地点：政采云平台线上获取</w:t>
      </w:r>
    </w:p>
    <w:p w14:paraId="72147543">
      <w:pPr>
        <w:keepNext/>
        <w:adjustRightInd w:val="0"/>
        <w:spacing w:line="360" w:lineRule="auto"/>
        <w:ind w:firstLine="480" w:firstLineChars="200"/>
        <w:jc w:val="lef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方式：在线获取</w:t>
      </w:r>
    </w:p>
    <w:p w14:paraId="4400B2ED">
      <w:pPr>
        <w:keepNext/>
        <w:adjustRightInd w:val="0"/>
        <w:spacing w:line="360" w:lineRule="auto"/>
        <w:ind w:firstLine="480" w:firstLineChars="200"/>
        <w:jc w:val="lef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售价（元）：0</w:t>
      </w:r>
    </w:p>
    <w:p w14:paraId="70B5CC36">
      <w:pPr>
        <w:pStyle w:val="26"/>
        <w:keepNext/>
        <w:spacing w:line="360" w:lineRule="auto"/>
        <w:ind w:firstLine="482"/>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四、提交投标文件截止时间、</w:t>
      </w:r>
      <w:r>
        <w:rPr>
          <w:rFonts w:hint="eastAsia" w:ascii="宋体" w:hAnsi="宋体" w:cs="宋体"/>
          <w:b/>
          <w:bCs/>
          <w:color w:val="auto"/>
          <w:sz w:val="24"/>
          <w:highlight w:val="none"/>
          <w:lang w:val="en-US" w:eastAsia="zh-CN"/>
        </w:rPr>
        <w:t>开标时间和地点</w:t>
      </w:r>
    </w:p>
    <w:p w14:paraId="2605AB4F">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提交投标文件截止时间：2025年</w:t>
      </w:r>
      <w:r>
        <w:rPr>
          <w:rFonts w:hint="eastAsia" w:ascii="宋体" w:hAnsi="宋体" w:cs="宋体"/>
          <w:color w:val="auto"/>
          <w:spacing w:val="-6"/>
          <w:sz w:val="24"/>
          <w:highlight w:val="none"/>
          <w:lang w:val="en-US" w:eastAsia="zh-CN"/>
        </w:rPr>
        <w:t>10</w:t>
      </w:r>
      <w:r>
        <w:rPr>
          <w:rFonts w:hint="eastAsia" w:ascii="宋体" w:hAnsi="宋体" w:eastAsia="宋体" w:cs="宋体"/>
          <w:color w:val="auto"/>
          <w:spacing w:val="-6"/>
          <w:sz w:val="24"/>
          <w:highlight w:val="none"/>
          <w:lang w:val="en-US" w:eastAsia="zh-CN"/>
        </w:rPr>
        <w:t>月</w:t>
      </w:r>
      <w:r>
        <w:rPr>
          <w:rFonts w:hint="eastAsia" w:ascii="宋体" w:hAnsi="宋体" w:cs="宋体"/>
          <w:color w:val="auto"/>
          <w:spacing w:val="-6"/>
          <w:sz w:val="24"/>
          <w:highlight w:val="none"/>
          <w:lang w:val="en-US" w:eastAsia="zh-CN"/>
        </w:rPr>
        <w:t>20</w:t>
      </w:r>
      <w:r>
        <w:rPr>
          <w:rFonts w:hint="eastAsia" w:ascii="宋体" w:hAnsi="宋体" w:eastAsia="宋体" w:cs="宋体"/>
          <w:color w:val="auto"/>
          <w:spacing w:val="-6"/>
          <w:sz w:val="24"/>
          <w:highlight w:val="none"/>
          <w:lang w:val="en-US" w:eastAsia="zh-CN"/>
        </w:rPr>
        <w:t>日09:</w:t>
      </w:r>
      <w:r>
        <w:rPr>
          <w:rFonts w:hint="eastAsia" w:ascii="宋体" w:hAnsi="宋体" w:cs="宋体"/>
          <w:color w:val="auto"/>
          <w:spacing w:val="-6"/>
          <w:sz w:val="24"/>
          <w:highlight w:val="none"/>
          <w:lang w:val="en-US" w:eastAsia="zh-CN"/>
        </w:rPr>
        <w:t>00</w:t>
      </w:r>
      <w:r>
        <w:rPr>
          <w:rFonts w:hint="eastAsia" w:ascii="宋体" w:hAnsi="宋体" w:eastAsia="宋体" w:cs="宋体"/>
          <w:color w:val="auto"/>
          <w:spacing w:val="-6"/>
          <w:sz w:val="24"/>
          <w:highlight w:val="none"/>
          <w:lang w:val="en-US" w:eastAsia="zh-CN"/>
        </w:rPr>
        <w:t>（北京时间）</w:t>
      </w:r>
    </w:p>
    <w:p w14:paraId="55BF4AC5">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投标地点（网址）：请登录政采云投标客户端投标</w:t>
      </w:r>
    </w:p>
    <w:p w14:paraId="791E0395">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开标时间：2025年</w:t>
      </w:r>
      <w:r>
        <w:rPr>
          <w:rFonts w:hint="eastAsia" w:ascii="宋体" w:hAnsi="宋体" w:cs="宋体"/>
          <w:color w:val="auto"/>
          <w:spacing w:val="-6"/>
          <w:sz w:val="24"/>
          <w:highlight w:val="none"/>
          <w:lang w:val="en-US" w:eastAsia="zh-CN"/>
        </w:rPr>
        <w:t>10</w:t>
      </w:r>
      <w:r>
        <w:rPr>
          <w:rFonts w:hint="eastAsia" w:ascii="宋体" w:hAnsi="宋体" w:eastAsia="宋体" w:cs="宋体"/>
          <w:color w:val="auto"/>
          <w:spacing w:val="-6"/>
          <w:sz w:val="24"/>
          <w:highlight w:val="none"/>
          <w:lang w:val="en-US" w:eastAsia="zh-CN"/>
        </w:rPr>
        <w:t>月</w:t>
      </w:r>
      <w:r>
        <w:rPr>
          <w:rFonts w:hint="eastAsia" w:ascii="宋体" w:hAnsi="宋体" w:cs="宋体"/>
          <w:color w:val="auto"/>
          <w:spacing w:val="-6"/>
          <w:sz w:val="24"/>
          <w:highlight w:val="none"/>
          <w:lang w:val="en-US" w:eastAsia="zh-CN"/>
        </w:rPr>
        <w:t>20</w:t>
      </w:r>
      <w:r>
        <w:rPr>
          <w:rFonts w:hint="eastAsia" w:ascii="宋体" w:hAnsi="宋体" w:eastAsia="宋体" w:cs="宋体"/>
          <w:color w:val="auto"/>
          <w:spacing w:val="-6"/>
          <w:sz w:val="24"/>
          <w:highlight w:val="none"/>
          <w:lang w:val="en-US" w:eastAsia="zh-CN"/>
        </w:rPr>
        <w:t>日09:</w:t>
      </w:r>
      <w:r>
        <w:rPr>
          <w:rFonts w:hint="eastAsia" w:ascii="宋体" w:hAnsi="宋体" w:cs="宋体"/>
          <w:color w:val="auto"/>
          <w:spacing w:val="-6"/>
          <w:sz w:val="24"/>
          <w:highlight w:val="none"/>
          <w:lang w:val="en-US" w:eastAsia="zh-CN"/>
        </w:rPr>
        <w:t>00</w:t>
      </w:r>
    </w:p>
    <w:p w14:paraId="2A171172">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开标地点：</w:t>
      </w:r>
      <w:r>
        <w:rPr>
          <w:rFonts w:hint="eastAsia" w:ascii="宋体" w:hAnsi="宋体" w:cs="宋体"/>
          <w:color w:val="auto"/>
          <w:spacing w:val="-6"/>
          <w:sz w:val="24"/>
          <w:highlight w:val="none"/>
          <w:lang w:val="en-US" w:eastAsia="zh-CN"/>
        </w:rPr>
        <w:t>山西省太原市创业街19号方大领地B座802</w:t>
      </w:r>
      <w:r>
        <w:rPr>
          <w:rFonts w:hint="eastAsia" w:ascii="宋体" w:hAnsi="宋体" w:eastAsia="宋体" w:cs="宋体"/>
          <w:color w:val="auto"/>
          <w:spacing w:val="-6"/>
          <w:sz w:val="24"/>
          <w:highlight w:val="none"/>
          <w:lang w:val="en-US" w:eastAsia="zh-CN"/>
        </w:rPr>
        <w:t>  </w:t>
      </w:r>
    </w:p>
    <w:p w14:paraId="6CB8928A">
      <w:pPr>
        <w:pStyle w:val="26"/>
        <w:keepNext/>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五、公告期限</w:t>
      </w:r>
    </w:p>
    <w:p w14:paraId="4F42F2B5">
      <w:pPr>
        <w:pStyle w:val="26"/>
        <w:keepNex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60B741FF">
      <w:pPr>
        <w:pStyle w:val="26"/>
        <w:keepNext/>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六、其他补充事宜</w:t>
      </w:r>
    </w:p>
    <w:p w14:paraId="7FA2D14B">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潜在投标人对招标公告有异议时，应当在法律、法规规定的期限内，通过山西政府采购平台“项目质疑管理”栏向采购人、采购代理机构在线提起质疑</w:t>
      </w:r>
      <w:r>
        <w:rPr>
          <w:rFonts w:hint="eastAsia" w:ascii="宋体" w:hAnsi="宋体" w:cs="宋体"/>
          <w:color w:val="auto"/>
          <w:spacing w:val="-6"/>
          <w:sz w:val="24"/>
          <w:highlight w:val="none"/>
          <w:lang w:val="en-US" w:eastAsia="zh-CN"/>
        </w:rPr>
        <w:t>。</w:t>
      </w:r>
    </w:p>
    <w:p w14:paraId="0F43C92C">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监督部门：山西省财政厅政府采购管理处，监督电话：0351-4123278。      </w:t>
      </w:r>
    </w:p>
    <w:p w14:paraId="34EF99C1">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代理费支付方式：供应商支付</w:t>
      </w:r>
      <w:r>
        <w:rPr>
          <w:rFonts w:hint="eastAsia" w:ascii="宋体" w:hAnsi="宋体" w:cs="宋体"/>
          <w:color w:val="auto"/>
          <w:spacing w:val="-6"/>
          <w:sz w:val="24"/>
          <w:highlight w:val="none"/>
          <w:lang w:val="en-US" w:eastAsia="zh-CN"/>
        </w:rPr>
        <w:t>。</w:t>
      </w:r>
    </w:p>
    <w:p w14:paraId="28B794D3">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代理费收费标准：以本项目中标（成交）金额为计费依据，采购代理服务费参照《招标代理服务收费管理暂行办法》（计价格[2002]1980号）文件的规定，按差额定率累进法计算结果的</w:t>
      </w:r>
      <w:r>
        <w:rPr>
          <w:rFonts w:hint="eastAsia" w:ascii="宋体" w:hAnsi="宋体" w:cs="宋体"/>
          <w:color w:val="auto"/>
          <w:spacing w:val="-6"/>
          <w:sz w:val="24"/>
          <w:highlight w:val="none"/>
          <w:lang w:val="en-US" w:eastAsia="zh-CN"/>
        </w:rPr>
        <w:t>90</w:t>
      </w:r>
      <w:r>
        <w:rPr>
          <w:rFonts w:hint="eastAsia" w:ascii="宋体" w:hAnsi="宋体" w:eastAsia="宋体" w:cs="宋体"/>
          <w:color w:val="auto"/>
          <w:spacing w:val="-6"/>
          <w:sz w:val="24"/>
          <w:highlight w:val="none"/>
          <w:lang w:val="en-US" w:eastAsia="zh-CN"/>
        </w:rPr>
        <w:t>%，作为代理服务费收费标准。 </w:t>
      </w:r>
    </w:p>
    <w:p w14:paraId="0DF65EDB">
      <w:pPr>
        <w:pStyle w:val="26"/>
        <w:keepNext/>
        <w:spacing w:line="360" w:lineRule="auto"/>
        <w:ind w:firstLine="456"/>
        <w:rPr>
          <w:rFonts w:hint="eastAsia" w:ascii="宋体" w:hAnsi="宋体" w:eastAsia="宋体" w:cs="宋体"/>
          <w:color w:val="auto"/>
          <w:spacing w:val="-6"/>
          <w:sz w:val="24"/>
          <w:highlight w:val="none"/>
          <w:lang w:val="en-US" w:eastAsia="zh-CN"/>
        </w:rPr>
      </w:pPr>
      <w:r>
        <w:rPr>
          <w:rFonts w:hint="eastAsia" w:ascii="宋体" w:hAnsi="宋体" w:eastAsia="宋体" w:cs="宋体"/>
          <w:color w:val="auto"/>
          <w:spacing w:val="-6"/>
          <w:sz w:val="24"/>
          <w:highlight w:val="none"/>
          <w:lang w:val="en-US" w:eastAsia="zh-CN"/>
        </w:rPr>
        <w:t>代理费收费金额（元）：/</w:t>
      </w:r>
    </w:p>
    <w:p w14:paraId="43D143B0">
      <w:pPr>
        <w:pStyle w:val="26"/>
        <w:keepNext/>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七、凡对本次采购提出询问，请按以下方式联系。</w:t>
      </w:r>
    </w:p>
    <w:p w14:paraId="6C3B5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1</w:t>
      </w:r>
      <w:r>
        <w:rPr>
          <w:rFonts w:hint="eastAsia" w:ascii="宋体" w:hAnsi="宋体" w:cs="宋体"/>
          <w:sz w:val="24"/>
          <w:highlight w:val="none"/>
        </w:rPr>
        <w:t>.</w:t>
      </w:r>
      <w:r>
        <w:rPr>
          <w:rFonts w:hint="eastAsia" w:ascii="Times New Roman" w:hAnsi="Times New Roman"/>
          <w:color w:val="000000"/>
          <w:sz w:val="24"/>
          <w:highlight w:val="none"/>
          <w:lang w:val="en-US" w:eastAsia="zh-CN"/>
        </w:rPr>
        <w:t>采购</w:t>
      </w:r>
      <w:r>
        <w:rPr>
          <w:rFonts w:hint="eastAsia" w:ascii="Times New Roman" w:hAnsi="Times New Roman"/>
          <w:color w:val="000000"/>
          <w:sz w:val="24"/>
          <w:highlight w:val="none"/>
        </w:rPr>
        <w:t>人信息</w:t>
      </w:r>
    </w:p>
    <w:p w14:paraId="1CD1B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highlight w:val="none"/>
          <w:lang w:eastAsia="zh-CN"/>
        </w:rPr>
      </w:pPr>
      <w:r>
        <w:rPr>
          <w:rFonts w:hint="eastAsia" w:ascii="Times New Roman" w:hAnsi="Times New Roman"/>
          <w:color w:val="000000"/>
          <w:sz w:val="24"/>
          <w:highlight w:val="none"/>
        </w:rPr>
        <w:t>名    称：</w:t>
      </w:r>
      <w:r>
        <w:rPr>
          <w:rFonts w:hint="eastAsia" w:ascii="Times New Roman" w:hAnsi="Times New Roman"/>
          <w:color w:val="000000"/>
          <w:sz w:val="24"/>
          <w:highlight w:val="none"/>
          <w:lang w:eastAsia="zh-CN"/>
        </w:rPr>
        <w:t>山西大学</w:t>
      </w:r>
    </w:p>
    <w:p w14:paraId="31AAE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highlight w:val="none"/>
          <w:lang w:eastAsia="zh-CN"/>
        </w:rPr>
      </w:pPr>
      <w:r>
        <w:rPr>
          <w:rFonts w:hint="eastAsia" w:ascii="Times New Roman" w:hAnsi="Times New Roman"/>
          <w:color w:val="000000"/>
          <w:sz w:val="24"/>
          <w:highlight w:val="none"/>
        </w:rPr>
        <w:t>地    址：</w:t>
      </w:r>
      <w:r>
        <w:rPr>
          <w:rFonts w:hint="eastAsia" w:ascii="Times New Roman" w:hAnsi="Times New Roman"/>
          <w:color w:val="000000"/>
          <w:sz w:val="24"/>
          <w:highlight w:val="none"/>
          <w:lang w:eastAsia="zh-CN"/>
        </w:rPr>
        <w:t>山西省太原市小店区坞城路92号</w:t>
      </w:r>
    </w:p>
    <w:p w14:paraId="59DF3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highlight w:val="none"/>
          <w:lang w:eastAsia="zh-CN"/>
        </w:rPr>
      </w:pPr>
      <w:r>
        <w:rPr>
          <w:rFonts w:hint="eastAsia" w:ascii="Times New Roman" w:hAnsi="Times New Roman"/>
          <w:color w:val="000000"/>
          <w:sz w:val="24"/>
          <w:highlight w:val="none"/>
        </w:rPr>
        <w:t>联系方式：</w:t>
      </w:r>
      <w:r>
        <w:rPr>
          <w:rFonts w:hint="eastAsia" w:ascii="Times New Roman" w:hAnsi="Times New Roman"/>
          <w:color w:val="000000"/>
          <w:sz w:val="24"/>
          <w:highlight w:val="none"/>
          <w:lang w:eastAsia="zh-CN"/>
        </w:rPr>
        <w:t>0351-7011255</w:t>
      </w:r>
    </w:p>
    <w:p w14:paraId="6E892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2</w:t>
      </w:r>
      <w:r>
        <w:rPr>
          <w:rFonts w:hint="eastAsia" w:ascii="宋体" w:hAnsi="宋体" w:cs="宋体"/>
          <w:sz w:val="24"/>
          <w:highlight w:val="none"/>
        </w:rPr>
        <w:t>.</w:t>
      </w:r>
      <w:r>
        <w:rPr>
          <w:rFonts w:hint="eastAsia" w:ascii="宋体" w:hAnsi="宋体" w:eastAsia="宋体" w:cs="宋体"/>
          <w:color w:val="auto"/>
          <w:sz w:val="24"/>
          <w:highlight w:val="none"/>
        </w:rPr>
        <w:t>采购代理机构信息</w:t>
      </w:r>
    </w:p>
    <w:p w14:paraId="28571A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highlight w:val="none"/>
          <w:lang w:eastAsia="zh-CN"/>
        </w:rPr>
      </w:pPr>
      <w:r>
        <w:rPr>
          <w:rFonts w:hint="eastAsia" w:ascii="Times New Roman" w:hAnsi="Times New Roman"/>
          <w:color w:val="000000"/>
          <w:sz w:val="24"/>
          <w:highlight w:val="none"/>
        </w:rPr>
        <w:t>名    称：</w:t>
      </w:r>
      <w:r>
        <w:rPr>
          <w:rFonts w:hint="eastAsia" w:ascii="Times New Roman" w:hAnsi="Times New Roman"/>
          <w:color w:val="000000"/>
          <w:sz w:val="24"/>
          <w:highlight w:val="none"/>
          <w:lang w:eastAsia="zh-CN"/>
        </w:rPr>
        <w:t>山西晋鑫项目管理有限公司</w:t>
      </w:r>
    </w:p>
    <w:p w14:paraId="28028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highlight w:val="none"/>
          <w:lang w:eastAsia="zh-CN"/>
        </w:rPr>
      </w:pPr>
      <w:r>
        <w:rPr>
          <w:rFonts w:hint="eastAsia" w:ascii="Times New Roman" w:hAnsi="Times New Roman"/>
          <w:color w:val="000000"/>
          <w:sz w:val="24"/>
          <w:highlight w:val="none"/>
        </w:rPr>
        <w:t>地    址：</w:t>
      </w:r>
      <w:r>
        <w:rPr>
          <w:rFonts w:hint="eastAsia" w:ascii="Times New Roman" w:hAnsi="Times New Roman"/>
          <w:color w:val="000000"/>
          <w:sz w:val="24"/>
          <w:highlight w:val="none"/>
          <w:lang w:eastAsia="zh-CN"/>
        </w:rPr>
        <w:t>山西省太原市万柏林区和平南路139号123幢2单元-1-1层0103号</w:t>
      </w:r>
    </w:p>
    <w:p w14:paraId="059F2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highlight w:val="none"/>
          <w:lang w:eastAsia="zh-CN"/>
        </w:rPr>
      </w:pPr>
      <w:r>
        <w:rPr>
          <w:rFonts w:hint="eastAsia" w:ascii="Times New Roman" w:hAnsi="Times New Roman"/>
          <w:color w:val="000000"/>
          <w:sz w:val="24"/>
          <w:highlight w:val="none"/>
        </w:rPr>
        <w:t>联系方式：</w:t>
      </w:r>
      <w:r>
        <w:rPr>
          <w:rFonts w:hint="eastAsia" w:ascii="Times New Roman" w:hAnsi="Times New Roman"/>
          <w:color w:val="000000"/>
          <w:sz w:val="24"/>
          <w:highlight w:val="none"/>
          <w:lang w:eastAsia="zh-CN"/>
        </w:rPr>
        <w:t>13383578770</w:t>
      </w:r>
    </w:p>
    <w:p w14:paraId="20F04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3</w:t>
      </w:r>
      <w:r>
        <w:rPr>
          <w:rFonts w:hint="eastAsia" w:ascii="宋体" w:hAnsi="宋体" w:cs="宋体"/>
          <w:sz w:val="24"/>
          <w:highlight w:val="none"/>
        </w:rPr>
        <w:t>.采购代理机构信息</w:t>
      </w:r>
    </w:p>
    <w:p w14:paraId="1DC63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highlight w:val="none"/>
          <w:lang w:eastAsia="zh-CN"/>
        </w:rPr>
      </w:pPr>
      <w:r>
        <w:rPr>
          <w:rFonts w:hint="eastAsia" w:ascii="宋体" w:hAnsi="宋体" w:eastAsia="宋体" w:cs="宋体"/>
          <w:color w:val="auto"/>
          <w:sz w:val="24"/>
          <w:highlight w:val="none"/>
        </w:rPr>
        <w:t>项目联系人</w:t>
      </w:r>
      <w:r>
        <w:rPr>
          <w:rFonts w:hint="eastAsia" w:ascii="Times New Roman" w:hAnsi="Times New Roman"/>
          <w:color w:val="000000"/>
          <w:sz w:val="24"/>
          <w:highlight w:val="none"/>
        </w:rPr>
        <w:t>：</w:t>
      </w:r>
      <w:r>
        <w:rPr>
          <w:rFonts w:hint="eastAsia" w:ascii="Times New Roman" w:hAnsi="Times New Roman"/>
          <w:color w:val="000000"/>
          <w:sz w:val="24"/>
          <w:highlight w:val="none"/>
          <w:lang w:val="en-US" w:eastAsia="zh-CN"/>
        </w:rPr>
        <w:t>孟宪玲</w:t>
      </w:r>
    </w:p>
    <w:p w14:paraId="0AABEE1C">
      <w:pPr>
        <w:pStyle w:val="26"/>
        <w:keepNext/>
        <w:spacing w:line="360" w:lineRule="auto"/>
        <w:ind w:firstLine="480"/>
        <w:rPr>
          <w:rFonts w:hint="eastAsia" w:ascii="宋体" w:hAnsi="宋体" w:eastAsia="宋体" w:cs="宋体"/>
          <w:b/>
          <w:color w:val="auto"/>
          <w:kern w:val="0"/>
          <w:sz w:val="32"/>
          <w:szCs w:val="32"/>
          <w:highlight w:val="none"/>
        </w:rPr>
      </w:pPr>
      <w:r>
        <w:rPr>
          <w:rFonts w:hint="eastAsia" w:ascii="Times New Roman" w:hAnsi="Times New Roman"/>
          <w:color w:val="000000"/>
          <w:sz w:val="24"/>
          <w:highlight w:val="none"/>
          <w:lang w:val="en-US" w:eastAsia="zh-CN"/>
        </w:rPr>
        <w:t>电  话</w:t>
      </w:r>
      <w:r>
        <w:rPr>
          <w:rFonts w:hint="eastAsia" w:ascii="Times New Roman" w:hAnsi="Times New Roman"/>
          <w:color w:val="000000"/>
          <w:sz w:val="24"/>
          <w:highlight w:val="none"/>
        </w:rPr>
        <w:t>：</w:t>
      </w:r>
      <w:r>
        <w:rPr>
          <w:rFonts w:hint="eastAsia" w:ascii="宋体" w:hAnsi="宋体" w:cs="宋体"/>
          <w:sz w:val="24"/>
          <w:highlight w:val="none"/>
          <w:lang w:eastAsia="zh-CN"/>
        </w:rPr>
        <w:t>13383578770</w:t>
      </w:r>
      <w:bookmarkStart w:id="2" w:name="_Toc180347449"/>
    </w:p>
    <w:p w14:paraId="2F9BF52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A6B362F">
      <w:pPr>
        <w:keepNext/>
        <w:tabs>
          <w:tab w:val="left" w:pos="2070"/>
          <w:tab w:val="center" w:pos="4365"/>
        </w:tabs>
        <w:adjustRightInd w:val="0"/>
        <w:snapToGrid w:val="0"/>
        <w:spacing w:line="360" w:lineRule="auto"/>
        <w:ind w:firstLine="643"/>
        <w:jc w:val="center"/>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第二部分  投标人须知前附表</w:t>
      </w:r>
      <w:bookmarkEnd w:id="2"/>
    </w:p>
    <w:tbl>
      <w:tblPr>
        <w:tblStyle w:val="20"/>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7"/>
        <w:gridCol w:w="7393"/>
      </w:tblGrid>
      <w:tr w14:paraId="4479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807" w:type="dxa"/>
            <w:vAlign w:val="center"/>
          </w:tcPr>
          <w:p w14:paraId="459FCDAD">
            <w:pPr>
              <w:keepNext/>
              <w:topLinePunct/>
              <w:autoSpaceDE w:val="0"/>
              <w:autoSpaceDN w:val="0"/>
              <w:adjustRightInd w:val="0"/>
              <w:snapToGrid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序号</w:t>
            </w:r>
          </w:p>
        </w:tc>
        <w:tc>
          <w:tcPr>
            <w:tcW w:w="1727" w:type="dxa"/>
            <w:vAlign w:val="center"/>
          </w:tcPr>
          <w:p w14:paraId="02F4A959">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7393" w:type="dxa"/>
            <w:vAlign w:val="center"/>
          </w:tcPr>
          <w:p w14:paraId="131606F4">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说明与要求</w:t>
            </w:r>
          </w:p>
        </w:tc>
      </w:tr>
      <w:tr w14:paraId="2B03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613B209A">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27" w:type="dxa"/>
            <w:vAlign w:val="center"/>
          </w:tcPr>
          <w:p w14:paraId="3068181C">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及最高限价</w:t>
            </w:r>
          </w:p>
        </w:tc>
        <w:tc>
          <w:tcPr>
            <w:tcW w:w="7393" w:type="dxa"/>
            <w:vAlign w:val="center"/>
          </w:tcPr>
          <w:p w14:paraId="09743508">
            <w:pPr>
              <w:keepNext/>
              <w:topLinePunct/>
              <w:autoSpaceDE w:val="0"/>
              <w:autoSpaceDN w:val="0"/>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预算金额：</w:t>
            </w:r>
          </w:p>
          <w:p w14:paraId="3AEEE6D7">
            <w:pPr>
              <w:keepNext/>
              <w:topLinePunct/>
              <w:autoSpaceDE w:val="0"/>
              <w:autoSpaceDN w:val="0"/>
              <w:adjustRightInd w:val="0"/>
              <w:snapToGrid w:val="0"/>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人民币（大写）：</w:t>
            </w:r>
            <w:r>
              <w:rPr>
                <w:rFonts w:hint="eastAsia" w:ascii="宋体" w:hAnsi="宋体" w:cs="宋体"/>
                <w:bCs/>
                <w:color w:val="auto"/>
                <w:sz w:val="24"/>
                <w:highlight w:val="none"/>
                <w:lang w:val="en-US" w:eastAsia="zh-CN"/>
              </w:rPr>
              <w:t>壹仟贰佰壹拾叁万伍仟元整</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（小写）：¥</w:t>
            </w:r>
            <w:r>
              <w:rPr>
                <w:rFonts w:hint="eastAsia" w:ascii="宋体" w:hAnsi="宋体" w:cs="宋体"/>
                <w:bCs/>
                <w:color w:val="auto"/>
                <w:sz w:val="24"/>
                <w:highlight w:val="none"/>
                <w:lang w:val="en-US" w:eastAsia="zh-CN"/>
              </w:rPr>
              <w:t>12135000</w:t>
            </w:r>
            <w:r>
              <w:rPr>
                <w:rFonts w:hint="eastAsia" w:ascii="宋体" w:hAnsi="宋体" w:eastAsia="宋体" w:cs="宋体"/>
                <w:bCs/>
                <w:color w:val="auto"/>
                <w:sz w:val="24"/>
                <w:highlight w:val="none"/>
                <w:lang w:val="en-US" w:eastAsia="zh-CN"/>
              </w:rPr>
              <w:t>.00</w:t>
            </w:r>
          </w:p>
          <w:p w14:paraId="6AF4AFFB">
            <w:pPr>
              <w:keepNext/>
              <w:topLinePunct/>
              <w:autoSpaceDE w:val="0"/>
              <w:autoSpaceDN w:val="0"/>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最高限价：</w:t>
            </w:r>
          </w:p>
          <w:p w14:paraId="3402E654">
            <w:pPr>
              <w:keepNext/>
              <w:topLinePunct/>
              <w:autoSpaceDE w:val="0"/>
              <w:autoSpaceDN w:val="0"/>
              <w:adjustRightInd w:val="0"/>
              <w:snapToGrid w:val="0"/>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人民币（大写）：</w:t>
            </w:r>
            <w:r>
              <w:rPr>
                <w:rFonts w:hint="eastAsia" w:ascii="宋体" w:hAnsi="宋体" w:cs="宋体"/>
                <w:bCs/>
                <w:color w:val="auto"/>
                <w:sz w:val="24"/>
                <w:highlight w:val="none"/>
                <w:lang w:val="en-US" w:eastAsia="zh-CN"/>
              </w:rPr>
              <w:t>壹仟贰佰壹拾叁万伍仟元整</w:t>
            </w:r>
            <w:r>
              <w:rPr>
                <w:rFonts w:hint="eastAsia" w:ascii="宋体" w:hAnsi="宋体" w:eastAsia="宋体" w:cs="宋体"/>
                <w:bCs/>
                <w:color w:val="auto"/>
                <w:sz w:val="24"/>
                <w:highlight w:val="none"/>
                <w:lang w:eastAsia="zh-CN"/>
              </w:rPr>
              <w:t>；</w:t>
            </w:r>
            <w:bookmarkStart w:id="90" w:name="_GoBack"/>
            <w:bookmarkEnd w:id="90"/>
            <w:r>
              <w:rPr>
                <w:rFonts w:hint="eastAsia" w:ascii="宋体" w:hAnsi="宋体" w:eastAsia="宋体" w:cs="宋体"/>
                <w:bCs/>
                <w:color w:val="auto"/>
                <w:sz w:val="24"/>
                <w:highlight w:val="none"/>
              </w:rPr>
              <w:t>（小写）：¥</w:t>
            </w:r>
            <w:r>
              <w:rPr>
                <w:rFonts w:hint="eastAsia" w:ascii="宋体" w:hAnsi="宋体" w:cs="宋体"/>
                <w:bCs/>
                <w:color w:val="auto"/>
                <w:sz w:val="24"/>
                <w:highlight w:val="none"/>
                <w:lang w:val="en-US" w:eastAsia="zh-CN"/>
              </w:rPr>
              <w:t>12135000</w:t>
            </w:r>
            <w:r>
              <w:rPr>
                <w:rFonts w:hint="eastAsia" w:ascii="宋体" w:hAnsi="宋体" w:eastAsia="宋体" w:cs="宋体"/>
                <w:bCs/>
                <w:color w:val="auto"/>
                <w:sz w:val="24"/>
                <w:highlight w:val="none"/>
                <w:lang w:val="en-US" w:eastAsia="zh-CN"/>
              </w:rPr>
              <w:t>.00</w:t>
            </w:r>
          </w:p>
          <w:p w14:paraId="683ED58E">
            <w:pPr>
              <w:keepNext/>
              <w:topLinePunct/>
              <w:autoSpaceDE w:val="0"/>
              <w:autoSpaceDN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注：本项目最高限价按</w:t>
            </w:r>
            <w:r>
              <w:rPr>
                <w:rFonts w:hint="eastAsia" w:ascii="宋体" w:hAnsi="宋体" w:cs="宋体"/>
                <w:b/>
                <w:color w:val="auto"/>
                <w:sz w:val="24"/>
                <w:highlight w:val="none"/>
                <w:lang w:val="en-US" w:eastAsia="zh-CN"/>
              </w:rPr>
              <w:t>项目</w:t>
            </w:r>
            <w:r>
              <w:rPr>
                <w:rFonts w:hint="eastAsia" w:ascii="宋体" w:hAnsi="宋体" w:eastAsia="宋体" w:cs="宋体"/>
                <w:b/>
                <w:color w:val="auto"/>
                <w:sz w:val="24"/>
                <w:highlight w:val="none"/>
              </w:rPr>
              <w:t>控制</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投标人的投标报价</w:t>
            </w:r>
            <w:r>
              <w:rPr>
                <w:rFonts w:hint="eastAsia" w:ascii="宋体" w:hAnsi="宋体" w:cs="宋体"/>
                <w:b/>
                <w:color w:val="auto"/>
                <w:sz w:val="24"/>
                <w:highlight w:val="none"/>
                <w:lang w:val="en-US" w:eastAsia="zh-CN"/>
              </w:rPr>
              <w:t>总价</w:t>
            </w:r>
            <w:r>
              <w:rPr>
                <w:rFonts w:hint="eastAsia" w:ascii="宋体" w:hAnsi="宋体" w:eastAsia="宋体" w:cs="宋体"/>
                <w:b/>
                <w:color w:val="auto"/>
                <w:sz w:val="24"/>
                <w:highlight w:val="none"/>
              </w:rPr>
              <w:t>不得超过最高限价，否则投标无效。</w:t>
            </w:r>
          </w:p>
        </w:tc>
      </w:tr>
      <w:tr w14:paraId="58C9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7" w:type="dxa"/>
            <w:vAlign w:val="center"/>
          </w:tcPr>
          <w:p w14:paraId="3882438C">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27" w:type="dxa"/>
            <w:vAlign w:val="center"/>
          </w:tcPr>
          <w:p w14:paraId="53B7C417">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是否允许代理商投标</w:t>
            </w:r>
          </w:p>
        </w:tc>
        <w:tc>
          <w:tcPr>
            <w:tcW w:w="7393" w:type="dxa"/>
            <w:vAlign w:val="center"/>
          </w:tcPr>
          <w:p w14:paraId="1DE0812F">
            <w:pPr>
              <w:keepNext/>
              <w:topLinePunct/>
              <w:autoSpaceDE w:val="0"/>
              <w:autoSpaceDN w:val="0"/>
              <w:adjustRightInd w:val="0"/>
              <w:snapToGrid w:val="0"/>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是</w:t>
            </w:r>
          </w:p>
        </w:tc>
      </w:tr>
      <w:tr w14:paraId="6A25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01F94E7A">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27" w:type="dxa"/>
            <w:vAlign w:val="center"/>
          </w:tcPr>
          <w:p w14:paraId="7783F6C5">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p>
        </w:tc>
        <w:tc>
          <w:tcPr>
            <w:tcW w:w="7393" w:type="dxa"/>
            <w:vAlign w:val="center"/>
          </w:tcPr>
          <w:p w14:paraId="23B507B4">
            <w:pPr>
              <w:keepNext/>
              <w:topLinePunct/>
              <w:autoSpaceDE w:val="0"/>
              <w:autoSpaceDN w:val="0"/>
              <w:adjustRightInd w:val="0"/>
              <w:snapToGrid w:val="0"/>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否</w:t>
            </w:r>
          </w:p>
        </w:tc>
      </w:tr>
      <w:tr w14:paraId="040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0AC603FE">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27" w:type="dxa"/>
            <w:vAlign w:val="center"/>
          </w:tcPr>
          <w:p w14:paraId="2F923492">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194813E7">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份数、提交截止时间、解密时间</w:t>
            </w:r>
          </w:p>
        </w:tc>
        <w:tc>
          <w:tcPr>
            <w:tcW w:w="7393" w:type="dxa"/>
            <w:vAlign w:val="center"/>
          </w:tcPr>
          <w:p w14:paraId="433E33B6">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1.投标文件份数：</w:t>
            </w:r>
          </w:p>
          <w:p w14:paraId="2CBB07AE">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投标人需在山西政府采购平台提交加密电子投标文件壹份；</w:t>
            </w:r>
          </w:p>
          <w:p w14:paraId="0C6C5DBB">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2.提交截止时间：</w:t>
            </w:r>
          </w:p>
          <w:p w14:paraId="510300BD">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截止时间：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日09点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eastAsia="宋体" w:cs="宋体"/>
                <w:bCs/>
                <w:color w:val="auto"/>
                <w:sz w:val="24"/>
                <w:highlight w:val="none"/>
              </w:rPr>
              <w:t>（北京时间）</w:t>
            </w:r>
          </w:p>
          <w:p w14:paraId="205DD009">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3.解密时间：</w:t>
            </w:r>
          </w:p>
          <w:p w14:paraId="26CFA0C9">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日09点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eastAsia="宋体" w:cs="宋体"/>
                <w:color w:val="auto"/>
                <w:sz w:val="24"/>
                <w:highlight w:val="none"/>
              </w:rPr>
              <w:t>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分</w:t>
            </w:r>
            <w:r>
              <w:rPr>
                <w:rFonts w:hint="eastAsia" w:ascii="宋体" w:hAnsi="宋体" w:eastAsia="宋体" w:cs="宋体"/>
                <w:bCs/>
                <w:color w:val="auto"/>
                <w:sz w:val="24"/>
                <w:highlight w:val="none"/>
              </w:rPr>
              <w:t>。</w:t>
            </w:r>
          </w:p>
          <w:p w14:paraId="373A8550">
            <w:pPr>
              <w:keepNext/>
              <w:topLinePunct/>
              <w:autoSpaceDE w:val="0"/>
              <w:autoSpaceDN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未在规定时间内提交或解密投标文件的，视为未提交投标文件，由投标人自行承担责任。</w:t>
            </w:r>
          </w:p>
        </w:tc>
      </w:tr>
      <w:tr w14:paraId="572C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7E013E24">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27" w:type="dxa"/>
            <w:vAlign w:val="center"/>
          </w:tcPr>
          <w:p w14:paraId="11C3A0D3">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CD8619A">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应提交的资格证明文件</w:t>
            </w:r>
          </w:p>
        </w:tc>
        <w:tc>
          <w:tcPr>
            <w:tcW w:w="7393" w:type="dxa"/>
            <w:vAlign w:val="center"/>
          </w:tcPr>
          <w:p w14:paraId="5A592FE8">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1.具有独立承担民事责任的能力的信用承诺书（见‘投标文件格式’）；</w:t>
            </w:r>
          </w:p>
          <w:p w14:paraId="2481EB4E">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2.具有良好的商业信誉和健全的财务会计制度的信用承诺书（见‘投标文件格式’）；</w:t>
            </w:r>
          </w:p>
          <w:p w14:paraId="59C7BEDA">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3.具有履行合同所必需的设备和专业技术能力的信用承诺书（见‘投标文件格式’）；</w:t>
            </w:r>
          </w:p>
          <w:p w14:paraId="3C770F57">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4.有依法缴纳税收和社会保障资金的良好记录的信用承诺书（见‘投标文件格式’）；</w:t>
            </w:r>
          </w:p>
          <w:p w14:paraId="2ABDB0F2">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5.参加政府采购活动前三年内，在经营活动中没有重大违法记录的信用承诺书（见‘投标文件格式’）；</w:t>
            </w:r>
          </w:p>
          <w:p w14:paraId="46A0DA2B">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6.不存在单位负责人为同一人或者存在直接控股、管理关系的不同投标人参加同一合同项下的政府采购活动的信用承诺书（见‘投标文件格式’）</w:t>
            </w:r>
          </w:p>
          <w:p w14:paraId="7306B5E8">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7.投标人廉洁自律信用承诺书（见‘投标文件格式’）；</w:t>
            </w:r>
          </w:p>
          <w:p w14:paraId="6318CE7C">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8.落实政府采购政策资格要求的证明材料</w:t>
            </w:r>
            <w:r>
              <w:rPr>
                <w:rFonts w:hint="eastAsia" w:ascii="宋体" w:hAnsi="宋体" w:cs="宋体"/>
                <w:b/>
                <w:bCs w:val="0"/>
                <w:color w:val="auto"/>
                <w:sz w:val="24"/>
                <w:highlight w:val="none"/>
              </w:rPr>
              <w:t>（</w:t>
            </w:r>
            <w:r>
              <w:rPr>
                <w:rFonts w:hint="eastAsia" w:ascii="宋体" w:hAnsi="宋体" w:cs="宋体"/>
                <w:b/>
                <w:bCs w:val="0"/>
                <w:color w:val="auto"/>
                <w:sz w:val="24"/>
                <w:highlight w:val="none"/>
                <w:lang w:eastAsia="zh-CN"/>
              </w:rPr>
              <w:t>本项目不适用</w:t>
            </w:r>
            <w:r>
              <w:rPr>
                <w:rFonts w:hint="eastAsia" w:ascii="宋体" w:hAnsi="宋体" w:cs="宋体"/>
                <w:b/>
                <w:bCs w:val="0"/>
                <w:color w:val="auto"/>
                <w:sz w:val="24"/>
                <w:highlight w:val="none"/>
              </w:rPr>
              <w:t>）</w:t>
            </w:r>
          </w:p>
          <w:p w14:paraId="287AB0CA">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8.1参加本项目投标的投标人应当出具投报产品的制造商为符合《政府采购促进中小企业发展管理办法》财库【2020】46号规定的《中小企业声明函》；</w:t>
            </w:r>
          </w:p>
          <w:p w14:paraId="5BA53B68">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8.2残疾人福利性单位视同小型、微型企业，残疾人福利企业参加本项目时，应当出具符合《财政部、民政部、中国残疾人联合会关于促进残疾人就业政府采购政策的通知》财库〔2017〕141号规定的《残疾人福利性单位声明函》；</w:t>
            </w:r>
          </w:p>
          <w:p w14:paraId="0FBDF661">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8.3监狱企业视同小型、微型企业，监狱企业参加本项目时，应当提供由省级以上监狱管理局、戒毒管理局（含新疆生产建设兵团）出具的属于监狱企业的证明文件。</w:t>
            </w:r>
          </w:p>
          <w:p w14:paraId="10B4CD0F">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8.4如本项目接受联合体参加，联合体各方均须为中小企业，除提供联合体投标协议外，还需提供中小企业声明函。</w:t>
            </w:r>
          </w:p>
          <w:p w14:paraId="22DC1E71">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9.投标人应具备的特定资格条件：</w:t>
            </w:r>
            <w:r>
              <w:rPr>
                <w:rFonts w:hint="eastAsia" w:ascii="宋体" w:hAnsi="宋体" w:cs="宋体"/>
                <w:bCs/>
                <w:color w:val="auto"/>
                <w:sz w:val="24"/>
                <w:highlight w:val="none"/>
                <w:lang w:val="en-US" w:eastAsia="zh-CN"/>
              </w:rPr>
              <w:t>无</w:t>
            </w:r>
            <w:r>
              <w:rPr>
                <w:rFonts w:hint="eastAsia" w:ascii="宋体" w:hAnsi="宋体" w:eastAsia="宋体" w:cs="宋体"/>
                <w:bCs/>
                <w:color w:val="auto"/>
                <w:sz w:val="24"/>
                <w:highlight w:val="none"/>
              </w:rPr>
              <w:t>；</w:t>
            </w:r>
          </w:p>
          <w:p w14:paraId="6181C629">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rPr>
              <w:t>10.</w:t>
            </w:r>
            <w:r>
              <w:rPr>
                <w:rFonts w:hint="eastAsia" w:ascii="宋体" w:hAnsi="宋体" w:eastAsia="宋体" w:cs="宋体"/>
                <w:color w:val="auto"/>
                <w:sz w:val="24"/>
                <w:szCs w:val="24"/>
                <w:highlight w:val="none"/>
                <w:lang w:val="en-US" w:eastAsia="zh-CN"/>
              </w:rPr>
              <w:t>投标保证金提交凭证（须提供加盖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公章的投标保证金提交凭证影印件或扫描件）</w:t>
            </w:r>
          </w:p>
          <w:p w14:paraId="7EDD1E4E">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投标保证金金额及提交要求：</w:t>
            </w:r>
          </w:p>
          <w:p w14:paraId="2CE63884">
            <w:pPr>
              <w:pStyle w:val="26"/>
              <w:spacing w:line="360" w:lineRule="auto"/>
              <w:ind w:firstLine="0" w:firstLineChars="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人民币（大写）</w:t>
            </w:r>
            <w:r>
              <w:rPr>
                <w:rFonts w:hint="eastAsia" w:ascii="宋体" w:hAnsi="宋体" w:cs="宋体"/>
                <w:bCs/>
                <w:color w:val="auto"/>
                <w:sz w:val="24"/>
                <w:szCs w:val="24"/>
                <w:highlight w:val="none"/>
                <w:lang w:val="en-US" w:eastAsia="zh-CN"/>
              </w:rPr>
              <w:t>壹拾万元整</w:t>
            </w:r>
          </w:p>
          <w:p w14:paraId="352ACA20">
            <w:pPr>
              <w:pStyle w:val="26"/>
              <w:spacing w:line="360" w:lineRule="auto"/>
              <w:ind w:firstLine="720" w:firstLineChars="300"/>
              <w:outlineLvl w:val="9"/>
              <w:rPr>
                <w:rFonts w:hint="default" w:ascii="宋体" w:hAnsi="宋体" w:eastAsia="宋体" w:cs="宋体"/>
                <w:bCs/>
                <w:color w:val="auto"/>
                <w:sz w:val="24"/>
                <w:szCs w:val="24"/>
                <w:highlight w:val="none"/>
                <w:lang w:val="en-US"/>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100000.00</w:t>
            </w:r>
          </w:p>
          <w:p w14:paraId="6031963C">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在投标文件开启前，须将投标保证金采用支票、汇票、本票、网银转账或者金融机构、担保机构出具的保函等非现金形式提交给采购代理机构。采用支票、汇票、本票、转账方式提交的，付款账户应为</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对公账户。</w:t>
            </w:r>
          </w:p>
          <w:p w14:paraId="7328133C">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采购代理机构收款信息：</w:t>
            </w:r>
          </w:p>
          <w:p w14:paraId="27AE6C8C">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开户名称：山西晋鑫项目管理有限公司</w:t>
            </w:r>
          </w:p>
          <w:p w14:paraId="360C2FA5">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开户银行：山西尧都农村商业银行股份有限公司太原平阳路小微企业专营支行</w:t>
            </w:r>
          </w:p>
          <w:p w14:paraId="546DD752">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    号：402161080022</w:t>
            </w:r>
          </w:p>
          <w:p w14:paraId="7451BCAA">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号：601463010300000041439</w:t>
            </w:r>
          </w:p>
          <w:p w14:paraId="1DA2E9B9">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4AC368A6">
            <w:pPr>
              <w:keepNext/>
              <w:topLinePunct/>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bCs/>
                <w:color w:val="auto"/>
                <w:sz w:val="24"/>
                <w:highlight w:val="none"/>
              </w:rPr>
              <w:t>以上第1-9项资格证明文件，除中小企业声明函中存在明显笔误、同一内容前后填写不一致、将企业类型填写错误，资格审查小组应通过“山西政府采购平台”要求投标人作出必要的澄清外</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非专门面向中小企业的采购项目，放在商务、技术部分</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，若有一项未提供或无效，均不允许在投标文件解密后补正，将导致其不具备投标资格</w:t>
            </w:r>
            <w:r>
              <w:rPr>
                <w:rFonts w:hint="eastAsia" w:ascii="宋体" w:hAnsi="宋体" w:eastAsia="宋体" w:cs="宋体"/>
                <w:color w:val="auto"/>
                <w:sz w:val="24"/>
                <w:szCs w:val="24"/>
                <w:highlight w:val="none"/>
                <w:lang w:val="en-US" w:eastAsia="zh-CN"/>
              </w:rPr>
              <w:t>。</w:t>
            </w:r>
          </w:p>
          <w:p w14:paraId="7523B090">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（2）未按第10条要求或未足额提交投标保证金的，将导致其不具备投标资格。</w:t>
            </w:r>
          </w:p>
          <w:p w14:paraId="171EA1C9">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（3）为方便代理机构确认，</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采用支票、汇票、本票、转账方式提交投标保证金的，应在凭单用途栏中注明项目编号（可简写）。</w:t>
            </w:r>
          </w:p>
          <w:p w14:paraId="765D6F96">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（4）以保函形式提交的，需提交见索即付保函，且保函失效日应晚于本项目规定的响应文件有效期截止日5日。</w:t>
            </w:r>
          </w:p>
          <w:p w14:paraId="45D3B4C1">
            <w:pPr>
              <w:pStyle w:val="26"/>
              <w:spacing w:line="360" w:lineRule="auto"/>
              <w:ind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为联合体的，由联合体的主体方提交投标保证金，其提交的保证金对联合体各方均具有约束力。</w:t>
            </w:r>
          </w:p>
          <w:p w14:paraId="3AEA71EC">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11.</w:t>
            </w:r>
            <w:r>
              <w:rPr>
                <w:rFonts w:hint="eastAsia" w:ascii="宋体" w:hAnsi="宋体" w:eastAsia="宋体" w:cs="宋体"/>
                <w:bCs/>
                <w:color w:val="auto"/>
                <w:sz w:val="24"/>
                <w:highlight w:val="none"/>
              </w:rPr>
              <w:t>投标文件解密完成后，</w:t>
            </w:r>
            <w:r>
              <w:rPr>
                <w:rFonts w:hint="eastAsia" w:ascii="宋体" w:hAnsi="宋体" w:cs="宋体"/>
                <w:bCs/>
                <w:color w:val="auto"/>
                <w:sz w:val="24"/>
                <w:highlight w:val="none"/>
                <w:lang w:val="en-US" w:eastAsia="zh-CN"/>
              </w:rPr>
              <w:t>招标代理</w:t>
            </w:r>
            <w:r>
              <w:rPr>
                <w:rFonts w:hint="eastAsia" w:ascii="宋体" w:hAnsi="宋体" w:eastAsia="宋体" w:cs="宋体"/>
                <w:bCs/>
                <w:color w:val="auto"/>
                <w:sz w:val="24"/>
                <w:highlight w:val="none"/>
              </w:rPr>
              <w:t>对投标人的相关主体信用记录、违规处罚情况等信用信息进行查询，并打印保存。（此项资格证明文件无需投标人提供）。</w:t>
            </w:r>
          </w:p>
          <w:p w14:paraId="51917B91">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（1）查询渠道：通过“信用中国”网站（http：//www.creditchina.gov.cn）、中国政府采购网（http：//www.ccgp.gov.cn）等渠道；</w:t>
            </w:r>
          </w:p>
          <w:p w14:paraId="2FEC3868">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（2）查询截止时点：提交投标文件截止时间；</w:t>
            </w:r>
          </w:p>
          <w:p w14:paraId="0F70F1ED">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（3）查询主要内容：“信用中国”（www.creditchina.gov.cn）查询投标人是否被</w:t>
            </w:r>
            <w:r>
              <w:rPr>
                <w:rFonts w:hint="eastAsia" w:ascii="宋体" w:hAnsi="宋体" w:cs="宋体"/>
                <w:bCs/>
                <w:color w:val="auto"/>
                <w:sz w:val="24"/>
                <w:highlight w:val="none"/>
                <w:lang w:eastAsia="zh-CN"/>
              </w:rPr>
              <w:t>严重失信主体名单</w:t>
            </w:r>
            <w:r>
              <w:rPr>
                <w:rFonts w:hint="eastAsia" w:ascii="宋体" w:hAnsi="宋体" w:eastAsia="宋体" w:cs="宋体"/>
                <w:bCs/>
                <w:color w:val="auto"/>
                <w:sz w:val="24"/>
                <w:highlight w:val="none"/>
              </w:rPr>
              <w:t>；“中国政府采购网”（www.ccgp.gov.cn）查询投标人是否被列入政府采购严重违法失信行为记录名单；</w:t>
            </w:r>
          </w:p>
          <w:p w14:paraId="167D95B6">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（4）查询内容中投标人存在第10条第3款情形的，其投标文件按无效投标处理。</w:t>
            </w:r>
          </w:p>
          <w:p w14:paraId="4143AE00">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（5）查询记录与其他采购文件一并保存。</w:t>
            </w:r>
          </w:p>
        </w:tc>
      </w:tr>
      <w:tr w14:paraId="0C22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10DF2480">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27" w:type="dxa"/>
            <w:vAlign w:val="center"/>
          </w:tcPr>
          <w:p w14:paraId="20D56C37">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投标人应提交的商务、技术</w:t>
            </w:r>
          </w:p>
          <w:p w14:paraId="43BB3B73">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文件</w:t>
            </w:r>
          </w:p>
        </w:tc>
        <w:tc>
          <w:tcPr>
            <w:tcW w:w="7393" w:type="dxa"/>
            <w:shd w:val="clear" w:color="auto" w:fill="auto"/>
            <w:vAlign w:val="center"/>
          </w:tcPr>
          <w:p w14:paraId="4C97562E">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★1.法定代表人（负责人）身份证明书（见‘投标文件格式’）； </w:t>
            </w:r>
          </w:p>
          <w:p w14:paraId="30C70FE3">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★2.法定代表人（负责人）授权委托书（见‘投标文件格式’），若授权代表为法定代表人（负责人）的可不提供；</w:t>
            </w:r>
          </w:p>
          <w:p w14:paraId="2B0BBEDE">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★3.投标函（见‘投标文件格式’）；</w:t>
            </w:r>
          </w:p>
          <w:p w14:paraId="2821733E">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★4.开标一栏表（见‘投标文件格式’）；</w:t>
            </w:r>
          </w:p>
          <w:p w14:paraId="5341FBBA">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cs="宋体"/>
                <w:bCs/>
                <w:color w:val="auto"/>
                <w:sz w:val="24"/>
                <w:highlight w:val="none"/>
                <w:lang w:eastAsia="zh-CN"/>
              </w:rPr>
              <w:t>投标文件商务响应表</w:t>
            </w:r>
            <w:r>
              <w:rPr>
                <w:rFonts w:hint="eastAsia" w:ascii="宋体" w:hAnsi="宋体" w:eastAsia="宋体" w:cs="宋体"/>
                <w:bCs/>
                <w:color w:val="auto"/>
                <w:sz w:val="24"/>
                <w:highlight w:val="none"/>
              </w:rPr>
              <w:t>（见‘投标文件格式’）；</w:t>
            </w:r>
          </w:p>
          <w:p w14:paraId="2509CF4A">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w:t>
            </w:r>
            <w:r>
              <w:rPr>
                <w:rFonts w:hint="eastAsia" w:ascii="宋体" w:hAnsi="宋体" w:cs="宋体"/>
                <w:bCs/>
                <w:color w:val="auto"/>
                <w:sz w:val="24"/>
                <w:highlight w:val="none"/>
                <w:lang w:eastAsia="zh-CN"/>
              </w:rPr>
              <w:t>投标文件技术响应表</w:t>
            </w:r>
            <w:r>
              <w:rPr>
                <w:rFonts w:hint="eastAsia" w:ascii="宋体" w:hAnsi="宋体" w:eastAsia="宋体" w:cs="宋体"/>
                <w:bCs/>
                <w:color w:val="auto"/>
                <w:sz w:val="24"/>
                <w:highlight w:val="none"/>
              </w:rPr>
              <w:t>（见‘投标文件格式’）；</w:t>
            </w:r>
          </w:p>
          <w:p w14:paraId="0734575F">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7.采购货物主要技术指标和运行性能的详细描述或同投标货物型号一致的产品彩页；</w:t>
            </w:r>
          </w:p>
          <w:p w14:paraId="72E4A01B">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8.投标文件提交截止时间前三年内同类项目合同案例列表及相关证明资料；</w:t>
            </w:r>
          </w:p>
          <w:p w14:paraId="336AB1E3">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9.企业信誉证明材料；</w:t>
            </w:r>
          </w:p>
          <w:p w14:paraId="6AB34D94">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10.团队组成；</w:t>
            </w:r>
          </w:p>
          <w:p w14:paraId="1A73B4DA">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w:t>
            </w:r>
            <w:r>
              <w:rPr>
                <w:rFonts w:hint="eastAsia" w:ascii="宋体" w:hAnsi="宋体" w:eastAsia="宋体" w:cs="宋体"/>
                <w:color w:val="auto"/>
                <w:sz w:val="24"/>
                <w:szCs w:val="32"/>
                <w:highlight w:val="none"/>
              </w:rPr>
              <w:t>.投标人配套服务方案与承诺</w:t>
            </w:r>
            <w:r>
              <w:rPr>
                <w:rFonts w:hint="eastAsia" w:ascii="宋体" w:hAnsi="宋体" w:eastAsia="宋体" w:cs="宋体"/>
                <w:bCs/>
                <w:color w:val="auto"/>
                <w:sz w:val="24"/>
                <w:highlight w:val="none"/>
              </w:rPr>
              <w:t>；</w:t>
            </w:r>
          </w:p>
          <w:p w14:paraId="54223F75">
            <w:pPr>
              <w:keepNext/>
              <w:topLinePunct/>
              <w:adjustRightInd w:val="0"/>
              <w:snapToGrid w:val="0"/>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cs="宋体"/>
                <w:color w:val="auto"/>
                <w:sz w:val="24"/>
                <w:szCs w:val="32"/>
                <w:highlight w:val="none"/>
                <w:lang w:val="en-US" w:eastAsia="zh-CN"/>
              </w:rPr>
              <w:t>2</w:t>
            </w:r>
            <w:r>
              <w:rPr>
                <w:rFonts w:hint="eastAsia" w:ascii="宋体" w:hAnsi="宋体" w:eastAsia="宋体" w:cs="宋体"/>
                <w:color w:val="auto"/>
                <w:sz w:val="24"/>
                <w:szCs w:val="32"/>
                <w:highlight w:val="none"/>
              </w:rPr>
              <w:t>.实施时间进度表；</w:t>
            </w:r>
          </w:p>
          <w:p w14:paraId="27CA9745">
            <w:pPr>
              <w:keepNext/>
              <w:topLinePunct/>
              <w:adjustRightInd w:val="0"/>
              <w:snapToGrid w:val="0"/>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cs="宋体"/>
                <w:color w:val="auto"/>
                <w:sz w:val="24"/>
                <w:szCs w:val="32"/>
                <w:highlight w:val="none"/>
                <w:lang w:val="en-US" w:eastAsia="zh-CN"/>
              </w:rPr>
              <w:t>3</w:t>
            </w:r>
            <w:r>
              <w:rPr>
                <w:rFonts w:hint="eastAsia" w:ascii="宋体" w:hAnsi="宋体" w:eastAsia="宋体" w:cs="宋体"/>
                <w:color w:val="auto"/>
                <w:sz w:val="24"/>
                <w:szCs w:val="32"/>
                <w:highlight w:val="none"/>
              </w:rPr>
              <w:t>.投标人认为需要提供的其他商务、技术材料；</w:t>
            </w:r>
          </w:p>
          <w:p w14:paraId="606CFE36">
            <w:pPr>
              <w:keepNext/>
              <w:topLinePunct/>
              <w:adjustRightInd w:val="0"/>
              <w:snapToGrid w:val="0"/>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cs="宋体"/>
                <w:color w:val="auto"/>
                <w:sz w:val="24"/>
                <w:szCs w:val="32"/>
                <w:highlight w:val="none"/>
                <w:lang w:val="en-US" w:eastAsia="zh-CN"/>
              </w:rPr>
              <w:t>4</w:t>
            </w:r>
            <w:r>
              <w:rPr>
                <w:rFonts w:hint="eastAsia" w:ascii="宋体" w:hAnsi="宋体" w:eastAsia="宋体" w:cs="宋体"/>
                <w:color w:val="auto"/>
                <w:sz w:val="24"/>
                <w:szCs w:val="32"/>
                <w:highlight w:val="none"/>
              </w:rPr>
              <w:t>.政府采购政策性要求证明材料。</w:t>
            </w:r>
          </w:p>
          <w:p w14:paraId="31AE146E">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加★的商务、技术文件</w:t>
            </w:r>
            <w:r>
              <w:rPr>
                <w:rFonts w:hint="eastAsia" w:ascii="宋体" w:hAnsi="宋体" w:eastAsia="宋体" w:cs="宋体"/>
                <w:color w:val="auto"/>
                <w:sz w:val="24"/>
                <w:szCs w:val="32"/>
                <w:highlight w:val="none"/>
              </w:rPr>
              <w:t>投标人</w:t>
            </w:r>
            <w:r>
              <w:rPr>
                <w:rFonts w:hint="eastAsia" w:ascii="宋体" w:hAnsi="宋体" w:eastAsia="宋体" w:cs="宋体"/>
                <w:bCs/>
                <w:color w:val="auto"/>
                <w:sz w:val="24"/>
                <w:highlight w:val="none"/>
              </w:rPr>
              <w:t>应作出实质性响应。除对含义不明确、同类问题表述不一致或者有明显的文字和计算错误，评标委员会应通过“山西政府采购平台”要求</w:t>
            </w:r>
            <w:r>
              <w:rPr>
                <w:rFonts w:hint="eastAsia" w:ascii="宋体" w:hAnsi="宋体" w:eastAsia="宋体" w:cs="宋体"/>
                <w:color w:val="auto"/>
                <w:sz w:val="24"/>
                <w:szCs w:val="32"/>
                <w:highlight w:val="none"/>
              </w:rPr>
              <w:t>投标人</w:t>
            </w:r>
            <w:r>
              <w:rPr>
                <w:rFonts w:hint="eastAsia" w:ascii="宋体" w:hAnsi="宋体" w:eastAsia="宋体" w:cs="宋体"/>
                <w:bCs/>
                <w:color w:val="auto"/>
                <w:sz w:val="24"/>
                <w:highlight w:val="none"/>
              </w:rPr>
              <w:t>作出必要的澄清、说明或者补正外，若有一项未实质性响应，不允许在投标文件解密后补正或修正，将导致其投标无效。</w:t>
            </w:r>
          </w:p>
        </w:tc>
      </w:tr>
      <w:tr w14:paraId="72B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5D74DC41">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727" w:type="dxa"/>
            <w:vAlign w:val="center"/>
          </w:tcPr>
          <w:p w14:paraId="73FDE77B">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政府采购相关政策要求</w:t>
            </w:r>
          </w:p>
        </w:tc>
        <w:tc>
          <w:tcPr>
            <w:tcW w:w="7393" w:type="dxa"/>
            <w:vAlign w:val="center"/>
          </w:tcPr>
          <w:p w14:paraId="369C0C32">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1.采购货物未特别注明“允许进口产品”字样的，均必须采购国产产品，即非“通过中国海关报关验放进入中国境内且产自关境外的产品”，且投报产品各项技术标准必须符合国家强制性标准。</w:t>
            </w:r>
          </w:p>
          <w:p w14:paraId="784DFC2D">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特别注明“允许进口产品”字样的，优先采购向我国企业转让技术、与我国企业签订消化吸收再创新方案的投标人的进口产品，如果有能够满足采购需求的国产产品参与，应当按照公平竞争的原则进行评审。</w:t>
            </w:r>
          </w:p>
          <w:p w14:paraId="30F096A7">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233A390B">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3．采购项目中如含有计算机，必须预装正版操作系统软件产品；项目中所采购的其它软件必须为正版软件。投标人须提供《正版软件承诺》。</w:t>
            </w:r>
          </w:p>
          <w:p w14:paraId="16B2C1A6">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27C6DD69">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投标人参加本次采购活动，如涉及上述1-4项要求，均应作出实质性响应，否则将导致投标无效。如项目不涉及，可不提供。</w:t>
            </w:r>
          </w:p>
          <w:p w14:paraId="49060989">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5.中小微企业参加本项目：</w:t>
            </w:r>
          </w:p>
          <w:p w14:paraId="4B9A2AAB">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参加本项目投标的投标人需出具投报产品制造商为符合《政府采购促进中小企业发展管理办法》财库【2020】46号规定的《中小企业声明函》；</w:t>
            </w:r>
          </w:p>
          <w:p w14:paraId="57976843">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6.残疾人企业参加本项目：</w:t>
            </w:r>
          </w:p>
          <w:p w14:paraId="63BDF257">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2ACA4F83">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7.监狱企业参加本项目：</w:t>
            </w:r>
          </w:p>
          <w:p w14:paraId="4E8F8AF6">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监狱企业视同小型、微型企业，监狱企业参加本项目时，需提供由省级以上监狱管理局、戒毒管理局（含新疆生产建设兵团）出具的属于监狱企业的证明文件。</w:t>
            </w:r>
          </w:p>
          <w:p w14:paraId="029DC7D8">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8.联合体参加本项目：</w:t>
            </w:r>
          </w:p>
          <w:p w14:paraId="6FE674A0">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如本项目为接受大中型企业与小微企业组成联合体或者允许大中型企业向一家或者多家小微企业分包的采购项目，须附《联合体投标协议书》。</w:t>
            </w:r>
          </w:p>
          <w:p w14:paraId="5F332AAE">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w:t>
            </w:r>
          </w:p>
          <w:p w14:paraId="629A48F5">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第5-8项适用于非专门面向中小微企业的采购项目。</w:t>
            </w:r>
          </w:p>
          <w:p w14:paraId="0296E4FE">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9.环保节能产品参加的项目：</w:t>
            </w:r>
          </w:p>
          <w:p w14:paraId="1F183A4F">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9.1投报产品为《节能产品政府采购品目清单》中强制性采购产品以外的其它节能产品，需提供所投产品获得国家确定的认证机构出具的处于有效期之内的节能产品认证证书。</w:t>
            </w:r>
          </w:p>
          <w:p w14:paraId="2AB2CD2D">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9.2投报产品属《环境标志产品政府采购品目清单》中的产品，需提供所投产品获得国家确定的认证机构出具的、处于有效期之内的环境标志产品认证证书。</w:t>
            </w:r>
          </w:p>
          <w:p w14:paraId="726DAF17">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10.创新产品参加的项目</w:t>
            </w:r>
          </w:p>
          <w:p w14:paraId="61E9491C">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投报根据《政府采购支持创新产品和服务实施细则》（晋财购【2019】19号）的产品，需在投标文件中提供《山西省创新产品和服务推荐清单》产品截图，并填写《创新产品或创新服务明细表》。</w:t>
            </w:r>
          </w:p>
          <w:p w14:paraId="6FEB81BC">
            <w:pPr>
              <w:keepNext/>
              <w:topLinePunct/>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11.商品包装和快递包装</w:t>
            </w:r>
          </w:p>
          <w:p w14:paraId="0444ADBB">
            <w:pPr>
              <w:keepNext/>
              <w:topLinePunct/>
              <w:adjustRightInd w:val="0"/>
              <w:snapToGrid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Cs/>
                <w:color w:val="auto"/>
                <w:sz w:val="24"/>
                <w:highlight w:val="none"/>
              </w:rPr>
              <w:t>如所供货物均需按《商品包装政府采购需求标准（试行）》、《快递包装政府采购需求标准（试行）》（财办库〔2020〕123号）包装标准与保护措施进行包装，须出具《商品包装和快递包装承诺》。</w:t>
            </w:r>
          </w:p>
        </w:tc>
      </w:tr>
      <w:tr w14:paraId="7275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shd w:val="clear" w:color="auto" w:fill="auto"/>
            <w:vAlign w:val="center"/>
          </w:tcPr>
          <w:p w14:paraId="09764AC1">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727" w:type="dxa"/>
            <w:vAlign w:val="center"/>
          </w:tcPr>
          <w:p w14:paraId="20772E91">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投标文件有效期</w:t>
            </w:r>
          </w:p>
        </w:tc>
        <w:tc>
          <w:tcPr>
            <w:tcW w:w="7393" w:type="dxa"/>
            <w:vAlign w:val="center"/>
          </w:tcPr>
          <w:p w14:paraId="0DE26A59">
            <w:pPr>
              <w:keepNext/>
              <w:topLinePunct/>
              <w:autoSpaceDE w:val="0"/>
              <w:autoSpaceDN w:val="0"/>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90日历天（从提交投标文件截止之日起计算）</w:t>
            </w:r>
          </w:p>
        </w:tc>
      </w:tr>
      <w:tr w14:paraId="68B9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07" w:type="dxa"/>
            <w:shd w:val="clear" w:color="auto" w:fill="auto"/>
            <w:vAlign w:val="center"/>
          </w:tcPr>
          <w:p w14:paraId="372835CF">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727" w:type="dxa"/>
            <w:vAlign w:val="center"/>
          </w:tcPr>
          <w:p w14:paraId="4B3FBB43">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评标委员会构成</w:t>
            </w:r>
          </w:p>
        </w:tc>
        <w:tc>
          <w:tcPr>
            <w:tcW w:w="7393" w:type="dxa"/>
            <w:vAlign w:val="center"/>
          </w:tcPr>
          <w:p w14:paraId="1141EC2E">
            <w:pPr>
              <w:keepNext/>
              <w:topLinePunct/>
              <w:autoSpaceDE w:val="0"/>
              <w:autoSpaceDN w:val="0"/>
              <w:adjustRightInd w:val="0"/>
              <w:snapToGrid w:val="0"/>
              <w:spacing w:line="400" w:lineRule="exact"/>
              <w:jc w:val="left"/>
              <w:rPr>
                <w:rFonts w:hint="eastAsia" w:ascii="宋体" w:hAnsi="宋体" w:eastAsia="宋体" w:cs="宋体"/>
                <w:color w:val="auto"/>
                <w:sz w:val="24"/>
                <w:highlight w:val="none"/>
              </w:rPr>
            </w:pPr>
            <w:bookmarkStart w:id="3" w:name="_Toc546"/>
            <w:bookmarkStart w:id="4" w:name="_Toc14560"/>
            <w:bookmarkStart w:id="5" w:name="_Toc22501"/>
            <w:r>
              <w:rPr>
                <w:rFonts w:hint="eastAsia" w:ascii="宋体" w:hAnsi="宋体" w:eastAsia="宋体" w:cs="宋体"/>
                <w:color w:val="auto"/>
                <w:sz w:val="24"/>
                <w:highlight w:val="none"/>
              </w:rPr>
              <w:t>本项目（包）评标委员会由</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7</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人组成，其中评审专家</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人，采购人代表</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w:t>
            </w:r>
            <w:bookmarkEnd w:id="3"/>
            <w:bookmarkEnd w:id="4"/>
            <w:r>
              <w:rPr>
                <w:rFonts w:hint="eastAsia" w:ascii="宋体" w:hAnsi="宋体" w:eastAsia="宋体" w:cs="宋体"/>
                <w:color w:val="auto"/>
                <w:sz w:val="24"/>
                <w:highlight w:val="none"/>
              </w:rPr>
              <w:t>。</w:t>
            </w:r>
            <w:bookmarkEnd w:id="5"/>
          </w:p>
        </w:tc>
      </w:tr>
      <w:tr w14:paraId="2F51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7" w:type="dxa"/>
            <w:shd w:val="clear" w:color="auto" w:fill="auto"/>
            <w:vAlign w:val="center"/>
          </w:tcPr>
          <w:p w14:paraId="16464294">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727" w:type="dxa"/>
            <w:vAlign w:val="center"/>
          </w:tcPr>
          <w:p w14:paraId="4817813A">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7393" w:type="dxa"/>
            <w:vAlign w:val="center"/>
          </w:tcPr>
          <w:p w14:paraId="2532D6BF">
            <w:pPr>
              <w:keepNext/>
              <w:topLinePunct/>
              <w:autoSpaceDE w:val="0"/>
              <w:autoSpaceDN w:val="0"/>
              <w:adjustRightInd w:val="0"/>
              <w:snapToGrid w:val="0"/>
              <w:jc w:val="left"/>
              <w:rPr>
                <w:rFonts w:hint="eastAsia" w:ascii="宋体" w:hAnsi="宋体" w:eastAsia="宋体" w:cs="宋体"/>
                <w:color w:val="auto"/>
                <w:sz w:val="24"/>
                <w:highlight w:val="none"/>
              </w:rPr>
            </w:pPr>
            <w:bookmarkStart w:id="6" w:name="_Toc30152"/>
            <w:r>
              <w:rPr>
                <w:rFonts w:hint="eastAsia" w:ascii="宋体" w:hAnsi="宋体" w:eastAsia="宋体" w:cs="宋体"/>
                <w:color w:val="auto"/>
                <w:sz w:val="24"/>
                <w:highlight w:val="none"/>
              </w:rPr>
              <w:t>本项目采用综合评分法，授权评标委员会直接确定中标人</w:t>
            </w:r>
            <w:bookmarkEnd w:id="6"/>
            <w:r>
              <w:rPr>
                <w:rFonts w:hint="eastAsia" w:ascii="宋体" w:hAnsi="宋体" w:eastAsia="宋体" w:cs="宋体"/>
                <w:color w:val="auto"/>
                <w:sz w:val="24"/>
                <w:highlight w:val="none"/>
              </w:rPr>
              <w:t>。</w:t>
            </w:r>
          </w:p>
        </w:tc>
      </w:tr>
      <w:tr w14:paraId="74D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7" w:type="dxa"/>
            <w:shd w:val="clear" w:color="auto" w:fill="auto"/>
            <w:vAlign w:val="center"/>
          </w:tcPr>
          <w:p w14:paraId="12D8DB88">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727" w:type="dxa"/>
            <w:vAlign w:val="center"/>
          </w:tcPr>
          <w:p w14:paraId="4A568FEF">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现场勘查</w:t>
            </w:r>
          </w:p>
        </w:tc>
        <w:tc>
          <w:tcPr>
            <w:tcW w:w="7393" w:type="dxa"/>
            <w:vAlign w:val="center"/>
          </w:tcPr>
          <w:p w14:paraId="22E88CDF">
            <w:pPr>
              <w:keepNext/>
              <w:topLinePunct/>
              <w:autoSpaceDE w:val="0"/>
              <w:autoSpaceDN w:val="0"/>
              <w:adjustRightInd w:val="0"/>
              <w:snapToGrid w:val="0"/>
              <w:jc w:val="left"/>
              <w:rPr>
                <w:rFonts w:hint="eastAsia" w:ascii="宋体" w:hAnsi="宋体" w:eastAsia="宋体" w:cs="宋体"/>
                <w:color w:val="auto"/>
                <w:sz w:val="24"/>
                <w:highlight w:val="none"/>
              </w:rPr>
            </w:pPr>
            <w:bookmarkStart w:id="7" w:name="_Toc30140"/>
            <w:r>
              <w:rPr>
                <w:rFonts w:hint="eastAsia" w:ascii="宋体" w:hAnsi="宋体" w:eastAsia="宋体" w:cs="宋体"/>
                <w:color w:val="auto"/>
                <w:sz w:val="24"/>
                <w:highlight w:val="none"/>
              </w:rPr>
              <w:t>招标文件提供期限截止后，如需要，书面通知</w:t>
            </w:r>
            <w:bookmarkEnd w:id="7"/>
            <w:r>
              <w:rPr>
                <w:rFonts w:hint="eastAsia" w:ascii="宋体" w:hAnsi="宋体" w:eastAsia="宋体" w:cs="宋体"/>
                <w:color w:val="auto"/>
                <w:sz w:val="24"/>
                <w:highlight w:val="none"/>
              </w:rPr>
              <w:t>。</w:t>
            </w:r>
          </w:p>
        </w:tc>
      </w:tr>
      <w:tr w14:paraId="7441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07" w:type="dxa"/>
            <w:shd w:val="clear" w:color="auto" w:fill="auto"/>
            <w:vAlign w:val="center"/>
          </w:tcPr>
          <w:p w14:paraId="544C3845">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727" w:type="dxa"/>
            <w:vAlign w:val="center"/>
          </w:tcPr>
          <w:p w14:paraId="7ECAF07C">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标前答疑</w:t>
            </w:r>
          </w:p>
        </w:tc>
        <w:tc>
          <w:tcPr>
            <w:tcW w:w="7393" w:type="dxa"/>
            <w:vAlign w:val="center"/>
          </w:tcPr>
          <w:p w14:paraId="25B85905">
            <w:pPr>
              <w:keepNext/>
              <w:topLinePunct/>
              <w:autoSpaceDE w:val="0"/>
              <w:autoSpaceDN w:val="0"/>
              <w:adjustRightInd w:val="0"/>
              <w:snapToGrid w:val="0"/>
              <w:jc w:val="left"/>
              <w:rPr>
                <w:rFonts w:hint="eastAsia" w:ascii="宋体" w:hAnsi="宋体" w:eastAsia="宋体" w:cs="宋体"/>
                <w:color w:val="auto"/>
                <w:sz w:val="24"/>
                <w:highlight w:val="none"/>
              </w:rPr>
            </w:pPr>
            <w:bookmarkStart w:id="8" w:name="_Toc20850"/>
            <w:r>
              <w:rPr>
                <w:rFonts w:hint="eastAsia" w:ascii="宋体" w:hAnsi="宋体" w:eastAsia="宋体" w:cs="宋体"/>
                <w:color w:val="auto"/>
                <w:sz w:val="24"/>
                <w:highlight w:val="none"/>
              </w:rPr>
              <w:t>招标文件提供期限截止后，如需要，书面通知</w:t>
            </w:r>
            <w:bookmarkEnd w:id="8"/>
            <w:r>
              <w:rPr>
                <w:rFonts w:hint="eastAsia" w:ascii="宋体" w:hAnsi="宋体" w:eastAsia="宋体" w:cs="宋体"/>
                <w:color w:val="auto"/>
                <w:sz w:val="24"/>
                <w:highlight w:val="none"/>
              </w:rPr>
              <w:t>。</w:t>
            </w:r>
          </w:p>
        </w:tc>
      </w:tr>
      <w:tr w14:paraId="00E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vAlign w:val="center"/>
          </w:tcPr>
          <w:p w14:paraId="1122EAE0">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727" w:type="dxa"/>
            <w:vAlign w:val="center"/>
          </w:tcPr>
          <w:p w14:paraId="1507AF8C">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本项目所属行业</w:t>
            </w:r>
          </w:p>
        </w:tc>
        <w:tc>
          <w:tcPr>
            <w:tcW w:w="7393" w:type="dxa"/>
            <w:vAlign w:val="center"/>
          </w:tcPr>
          <w:p w14:paraId="62FD1531">
            <w:pPr>
              <w:keepNext/>
              <w:topLinePunct/>
              <w:autoSpaceDE w:val="0"/>
              <w:autoSpaceDN w:val="0"/>
              <w:adjustRightInd w:val="0"/>
              <w:snapToGrid w:val="0"/>
              <w:jc w:val="left"/>
              <w:rPr>
                <w:rFonts w:hint="eastAsia" w:ascii="宋体" w:hAnsi="宋体" w:eastAsia="宋体" w:cs="宋体"/>
                <w:color w:val="auto"/>
                <w:sz w:val="24"/>
                <w:highlight w:val="none"/>
              </w:rPr>
            </w:pPr>
            <w:bookmarkStart w:id="9" w:name="_Toc12875"/>
            <w:r>
              <w:rPr>
                <w:rFonts w:hint="eastAsia" w:ascii="宋体" w:hAnsi="宋体" w:eastAsia="宋体" w:cs="宋体"/>
                <w:color w:val="auto"/>
                <w:sz w:val="24"/>
                <w:highlight w:val="none"/>
              </w:rPr>
              <w:t>根据中小企业划型标准，本项目属</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工业</w:t>
            </w:r>
            <w:r>
              <w:rPr>
                <w:rFonts w:hint="eastAsia" w:ascii="宋体" w:hAnsi="宋体" w:eastAsia="宋体" w:cs="宋体"/>
                <w:color w:val="auto"/>
                <w:sz w:val="24"/>
                <w:highlight w:val="none"/>
                <w:u w:val="single"/>
              </w:rPr>
              <w:t xml:space="preserve"> </w:t>
            </w:r>
            <w:bookmarkEnd w:id="9"/>
            <w:r>
              <w:rPr>
                <w:rFonts w:hint="eastAsia" w:ascii="宋体" w:hAnsi="宋体" w:eastAsia="宋体" w:cs="宋体"/>
                <w:color w:val="auto"/>
                <w:sz w:val="24"/>
                <w:highlight w:val="none"/>
              </w:rPr>
              <w:t>行业。</w:t>
            </w:r>
          </w:p>
        </w:tc>
      </w:tr>
      <w:tr w14:paraId="020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807" w:type="dxa"/>
            <w:vAlign w:val="center"/>
          </w:tcPr>
          <w:p w14:paraId="1C10BF35">
            <w:pPr>
              <w:keepNext/>
              <w:topLinePunct/>
              <w:autoSpaceDE w:val="0"/>
              <w:autoSpaceDN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727" w:type="dxa"/>
            <w:shd w:val="clear" w:color="auto" w:fill="auto"/>
            <w:vAlign w:val="center"/>
          </w:tcPr>
          <w:p w14:paraId="16DF64B0">
            <w:pPr>
              <w:keepNext/>
              <w:topLinePunct/>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电子化招标项目视为串通情形的认定</w:t>
            </w:r>
          </w:p>
        </w:tc>
        <w:tc>
          <w:tcPr>
            <w:tcW w:w="7393" w:type="dxa"/>
            <w:shd w:val="clear" w:color="auto" w:fill="auto"/>
            <w:vAlign w:val="center"/>
          </w:tcPr>
          <w:p w14:paraId="2315621F">
            <w:pPr>
              <w:keepNext/>
              <w:topLinePunct/>
              <w:autoSpaceDE w:val="0"/>
              <w:autoSpaceDN w:val="0"/>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1、系统记录的参加同一项目的不同投标人编制电子投标文件使用的计算机或上传电子投标文件使用的计算机网卡MAC地址、IP地址一致的。</w:t>
            </w:r>
          </w:p>
          <w:p w14:paraId="0EFA0305">
            <w:pPr>
              <w:keepNext/>
              <w:topLinePunct/>
              <w:autoSpaceDE w:val="0"/>
              <w:autoSpaceDN w:val="0"/>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2、投标人上传的电子投标文件若出现使用本项目其他投标人的数字证书加密的或加盖本项目的其他投标人的电子印章的。</w:t>
            </w:r>
          </w:p>
          <w:p w14:paraId="30AA48A6">
            <w:pPr>
              <w:keepNext/>
              <w:topLinePunct/>
              <w:autoSpaceDE w:val="0"/>
              <w:autoSpaceDN w:val="0"/>
              <w:adjustRightInd w:val="0"/>
              <w:snapToGrid w:val="0"/>
              <w:spacing w:line="360" w:lineRule="auto"/>
              <w:jc w:val="left"/>
              <w:rPr>
                <w:rFonts w:hint="eastAsia" w:ascii="宋体" w:hAnsi="宋体" w:eastAsia="宋体" w:cs="宋体"/>
                <w:bCs/>
                <w:color w:val="auto"/>
                <w:szCs w:val="21"/>
                <w:highlight w:val="none"/>
              </w:rPr>
            </w:pPr>
            <w:r>
              <w:rPr>
                <w:rFonts w:hint="eastAsia" w:ascii="宋体" w:hAnsi="宋体" w:eastAsia="宋体" w:cs="宋体"/>
                <w:color w:val="auto"/>
                <w:sz w:val="24"/>
                <w:highlight w:val="none"/>
              </w:rPr>
              <w:t>在评审过程中如发现投标人有上述情形的，评标委员会应当根据采购文件认定串通行为，认定其投标无效，评标报告详细记录相关情况，并由采购代理机构书面报告本级财政部门。</w:t>
            </w:r>
          </w:p>
        </w:tc>
      </w:tr>
      <w:tr w14:paraId="1D50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807" w:type="dxa"/>
            <w:vAlign w:val="center"/>
          </w:tcPr>
          <w:p w14:paraId="3689473C">
            <w:pPr>
              <w:keepNext/>
              <w:topLinePunct/>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Times New Roman" w:hAnsi="Times New Roman"/>
                <w:color w:val="auto"/>
                <w:sz w:val="24"/>
                <w:highlight w:val="none"/>
                <w:lang w:val="en-US" w:eastAsia="zh-CN"/>
              </w:rPr>
              <w:t>15</w:t>
            </w:r>
          </w:p>
        </w:tc>
        <w:tc>
          <w:tcPr>
            <w:tcW w:w="1727" w:type="dxa"/>
            <w:shd w:val="clear" w:color="auto" w:fill="auto"/>
            <w:vAlign w:val="center"/>
          </w:tcPr>
          <w:p w14:paraId="55B4159B">
            <w:pPr>
              <w:keepNext/>
              <w:topLinePunct/>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Times New Roman" w:hAnsi="Times New Roman"/>
                <w:color w:val="auto"/>
                <w:sz w:val="24"/>
                <w:highlight w:val="none"/>
                <w:lang w:val="en-US" w:eastAsia="zh-CN"/>
              </w:rPr>
              <w:t>其他</w:t>
            </w:r>
          </w:p>
        </w:tc>
        <w:tc>
          <w:tcPr>
            <w:tcW w:w="7393" w:type="dxa"/>
            <w:shd w:val="clear" w:color="auto" w:fill="auto"/>
            <w:vAlign w:val="center"/>
          </w:tcPr>
          <w:p w14:paraId="08E6596E">
            <w:pPr>
              <w:keepNext/>
              <w:numPr>
                <w:ilvl w:val="0"/>
                <w:numId w:val="0"/>
              </w:numPr>
              <w:topLinePunct/>
              <w:adjustRightInd w:val="0"/>
              <w:snapToGrid w:val="0"/>
              <w:spacing w:line="360" w:lineRule="auto"/>
              <w:jc w:val="left"/>
              <w:rPr>
                <w:rFonts w:hint="eastAsia" w:ascii="Times New Roman" w:hAnsi="Times New Roman"/>
                <w:bCs/>
                <w:color w:val="auto"/>
                <w:sz w:val="24"/>
                <w:highlight w:val="none"/>
                <w:lang w:eastAsia="zh-CN"/>
              </w:rPr>
            </w:pPr>
            <w:r>
              <w:rPr>
                <w:rFonts w:hint="eastAsia" w:ascii="Times New Roman" w:hAnsi="Times New Roman" w:eastAsia="宋体" w:cs="Times New Roman"/>
                <w:bCs/>
                <w:color w:val="auto"/>
                <w:kern w:val="2"/>
                <w:sz w:val="24"/>
                <w:szCs w:val="24"/>
                <w:highlight w:val="none"/>
                <w:lang w:val="en-US" w:eastAsia="zh-CN" w:bidi="ar-SA"/>
              </w:rPr>
              <w:t>1.</w:t>
            </w:r>
            <w:r>
              <w:rPr>
                <w:rFonts w:hint="eastAsia" w:ascii="Times New Roman" w:hAnsi="Times New Roman"/>
                <w:bCs/>
                <w:color w:val="auto"/>
                <w:sz w:val="24"/>
                <w:highlight w:val="none"/>
                <w:lang w:val="en-US" w:eastAsia="zh-CN"/>
              </w:rPr>
              <w:t>投标人</w:t>
            </w:r>
            <w:r>
              <w:rPr>
                <w:rFonts w:ascii="Times New Roman" w:hAnsi="Times New Roman"/>
                <w:bCs/>
                <w:color w:val="auto"/>
                <w:sz w:val="24"/>
                <w:highlight w:val="none"/>
              </w:rPr>
              <w:t>在法定质疑期内一次性提出针对同一采购程序环节的质疑</w:t>
            </w:r>
            <w:r>
              <w:rPr>
                <w:rFonts w:hint="eastAsia" w:ascii="Times New Roman" w:hAnsi="Times New Roman"/>
                <w:bCs/>
                <w:color w:val="auto"/>
                <w:sz w:val="24"/>
                <w:highlight w:val="none"/>
              </w:rPr>
              <w:t>，多次提出将不予受理</w:t>
            </w:r>
            <w:r>
              <w:rPr>
                <w:rFonts w:hint="eastAsia" w:ascii="Times New Roman" w:hAnsi="Times New Roman"/>
                <w:bCs/>
                <w:color w:val="auto"/>
                <w:sz w:val="24"/>
                <w:highlight w:val="none"/>
                <w:lang w:eastAsia="zh-CN"/>
              </w:rPr>
              <w:t>。</w:t>
            </w:r>
          </w:p>
          <w:p w14:paraId="54AC6670">
            <w:pPr>
              <w:keepNext/>
              <w:topLinePunct/>
              <w:adjustRightInd w:val="0"/>
              <w:snapToGrid w:val="0"/>
              <w:spacing w:line="360" w:lineRule="auto"/>
              <w:jc w:val="left"/>
              <w:rPr>
                <w:rFonts w:hint="eastAsia" w:ascii="宋体" w:hAnsi="宋体"/>
                <w:bCs/>
                <w:color w:val="auto"/>
                <w:sz w:val="24"/>
                <w:highlight w:val="none"/>
                <w:lang w:eastAsia="zh-CN"/>
              </w:rPr>
            </w:pPr>
            <w:r>
              <w:rPr>
                <w:rFonts w:hint="eastAsia" w:ascii="宋体" w:hAnsi="宋体"/>
                <w:bCs/>
                <w:color w:val="auto"/>
                <w:sz w:val="24"/>
                <w:highlight w:val="none"/>
                <w:lang w:val="en-US" w:eastAsia="zh-CN"/>
              </w:rPr>
              <w:t>2.</w:t>
            </w:r>
            <w:r>
              <w:rPr>
                <w:rFonts w:hint="eastAsia" w:ascii="宋体" w:hAnsi="宋体"/>
                <w:bCs/>
                <w:color w:val="auto"/>
                <w:sz w:val="24"/>
                <w:highlight w:val="none"/>
              </w:rPr>
              <w:t>在</w:t>
            </w:r>
            <w:r>
              <w:rPr>
                <w:rFonts w:hint="eastAsia" w:ascii="宋体" w:hAnsi="宋体"/>
                <w:bCs/>
                <w:color w:val="auto"/>
                <w:sz w:val="24"/>
                <w:highlight w:val="none"/>
                <w:lang w:val="en-US" w:eastAsia="zh-CN"/>
              </w:rPr>
              <w:t>公告</w:t>
            </w:r>
            <w:r>
              <w:rPr>
                <w:rFonts w:hint="eastAsia" w:ascii="宋体" w:hAnsi="宋体"/>
                <w:bCs/>
                <w:color w:val="auto"/>
                <w:sz w:val="24"/>
                <w:highlight w:val="none"/>
              </w:rPr>
              <w:t>中标</w:t>
            </w:r>
            <w:r>
              <w:rPr>
                <w:rFonts w:hint="eastAsia" w:ascii="宋体" w:hAnsi="宋体"/>
                <w:bCs/>
                <w:color w:val="auto"/>
                <w:sz w:val="24"/>
                <w:highlight w:val="none"/>
                <w:lang w:val="en-US" w:eastAsia="zh-CN"/>
              </w:rPr>
              <w:t>结果的同时</w:t>
            </w:r>
            <w:r>
              <w:rPr>
                <w:rFonts w:hint="eastAsia" w:ascii="宋体" w:hAnsi="宋体"/>
                <w:bCs/>
                <w:color w:val="auto"/>
                <w:sz w:val="24"/>
                <w:highlight w:val="none"/>
              </w:rPr>
              <w:t>，未通过资格审查的投标人可通过山西政府采购平台自行查阅其未通过的原因</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采购人或</w:t>
            </w:r>
            <w:r>
              <w:rPr>
                <w:rFonts w:hint="eastAsia" w:ascii="宋体" w:hAnsi="宋体"/>
                <w:bCs/>
                <w:color w:val="auto"/>
                <w:sz w:val="24"/>
                <w:highlight w:val="none"/>
              </w:rPr>
              <w:t>采购代理机构不再</w:t>
            </w:r>
            <w:r>
              <w:rPr>
                <w:rFonts w:hint="eastAsia" w:ascii="宋体" w:hAnsi="宋体"/>
                <w:bCs/>
                <w:color w:val="auto"/>
                <w:sz w:val="24"/>
                <w:highlight w:val="none"/>
                <w:lang w:val="en-US" w:eastAsia="zh-CN"/>
              </w:rPr>
              <w:t>另行</w:t>
            </w:r>
            <w:r>
              <w:rPr>
                <w:rFonts w:hint="eastAsia" w:ascii="宋体" w:hAnsi="宋体"/>
                <w:bCs/>
                <w:color w:val="auto"/>
                <w:sz w:val="24"/>
                <w:highlight w:val="none"/>
              </w:rPr>
              <w:t>告知</w:t>
            </w:r>
            <w:r>
              <w:rPr>
                <w:rFonts w:hint="eastAsia" w:ascii="宋体" w:hAnsi="宋体"/>
                <w:bCs/>
                <w:color w:val="auto"/>
                <w:sz w:val="24"/>
                <w:highlight w:val="none"/>
                <w:lang w:eastAsia="zh-CN"/>
              </w:rPr>
              <w:t>。</w:t>
            </w:r>
          </w:p>
          <w:p w14:paraId="4BB6688B">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.在</w:t>
            </w:r>
            <w:r>
              <w:rPr>
                <w:rFonts w:hint="eastAsia" w:ascii="宋体" w:hAnsi="宋体"/>
                <w:bCs/>
                <w:color w:val="auto"/>
                <w:sz w:val="24"/>
                <w:highlight w:val="none"/>
                <w:lang w:val="en-US" w:eastAsia="zh-CN"/>
              </w:rPr>
              <w:t>公告</w:t>
            </w:r>
            <w:r>
              <w:rPr>
                <w:rFonts w:hint="eastAsia" w:ascii="宋体" w:hAnsi="宋体"/>
                <w:bCs/>
                <w:color w:val="auto"/>
                <w:sz w:val="24"/>
                <w:highlight w:val="none"/>
              </w:rPr>
              <w:t>中标</w:t>
            </w:r>
            <w:r>
              <w:rPr>
                <w:rFonts w:hint="eastAsia" w:ascii="宋体" w:hAnsi="宋体"/>
                <w:bCs/>
                <w:color w:val="auto"/>
                <w:sz w:val="24"/>
                <w:highlight w:val="none"/>
                <w:lang w:val="en-US" w:eastAsia="zh-CN"/>
              </w:rPr>
              <w:t>结果的同时</w:t>
            </w:r>
            <w:r>
              <w:rPr>
                <w:rFonts w:hint="eastAsia" w:ascii="宋体" w:hAnsi="宋体"/>
                <w:bCs/>
                <w:color w:val="auto"/>
                <w:sz w:val="24"/>
                <w:highlight w:val="none"/>
              </w:rPr>
              <w:t>，采用综合评分法评审的</w:t>
            </w:r>
            <w:r>
              <w:rPr>
                <w:rFonts w:hint="eastAsia" w:ascii="宋体" w:hAnsi="宋体"/>
                <w:bCs/>
                <w:color w:val="auto"/>
                <w:sz w:val="24"/>
                <w:highlight w:val="none"/>
                <w:lang w:val="en-US" w:eastAsia="zh-CN"/>
              </w:rPr>
              <w:t>采购项目</w:t>
            </w:r>
            <w:r>
              <w:rPr>
                <w:rFonts w:hint="eastAsia" w:ascii="宋体" w:hAnsi="宋体"/>
                <w:bCs/>
                <w:color w:val="auto"/>
                <w:sz w:val="24"/>
                <w:highlight w:val="none"/>
              </w:rPr>
              <w:t>，未中标投标人可通过山西政府采购平台自行查阅</w:t>
            </w:r>
            <w:r>
              <w:rPr>
                <w:rFonts w:hint="eastAsia" w:ascii="宋体" w:hAnsi="宋体"/>
                <w:bCs/>
                <w:color w:val="auto"/>
                <w:sz w:val="24"/>
                <w:highlight w:val="none"/>
                <w:lang w:val="en-US" w:eastAsia="zh-CN"/>
              </w:rPr>
              <w:t>本人</w:t>
            </w:r>
            <w:r>
              <w:rPr>
                <w:rFonts w:hint="eastAsia" w:ascii="宋体" w:hAnsi="宋体"/>
                <w:bCs/>
                <w:color w:val="auto"/>
                <w:sz w:val="24"/>
                <w:highlight w:val="none"/>
              </w:rPr>
              <w:t>的评审得分与排序，</w:t>
            </w:r>
            <w:r>
              <w:rPr>
                <w:rFonts w:hint="eastAsia" w:ascii="宋体" w:hAnsi="宋体"/>
                <w:bCs/>
                <w:color w:val="auto"/>
                <w:sz w:val="24"/>
                <w:highlight w:val="none"/>
                <w:lang w:val="en-US" w:eastAsia="zh-CN"/>
              </w:rPr>
              <w:t>采购人或</w:t>
            </w:r>
            <w:r>
              <w:rPr>
                <w:rFonts w:hint="eastAsia" w:ascii="宋体" w:hAnsi="宋体"/>
                <w:bCs/>
                <w:color w:val="auto"/>
                <w:sz w:val="24"/>
                <w:highlight w:val="none"/>
              </w:rPr>
              <w:t>采购代理机构不再</w:t>
            </w:r>
            <w:r>
              <w:rPr>
                <w:rFonts w:hint="eastAsia" w:ascii="宋体" w:hAnsi="宋体"/>
                <w:bCs/>
                <w:color w:val="auto"/>
                <w:sz w:val="24"/>
                <w:highlight w:val="none"/>
                <w:lang w:val="en-US" w:eastAsia="zh-CN"/>
              </w:rPr>
              <w:t>另行</w:t>
            </w:r>
            <w:r>
              <w:rPr>
                <w:rFonts w:hint="eastAsia" w:ascii="宋体" w:hAnsi="宋体"/>
                <w:bCs/>
                <w:color w:val="auto"/>
                <w:sz w:val="24"/>
                <w:highlight w:val="none"/>
              </w:rPr>
              <w:t>告知</w:t>
            </w:r>
            <w:r>
              <w:rPr>
                <w:rFonts w:hint="eastAsia" w:ascii="宋体" w:hAnsi="宋体"/>
                <w:bCs/>
                <w:color w:val="auto"/>
                <w:sz w:val="24"/>
                <w:highlight w:val="none"/>
                <w:lang w:eastAsia="zh-CN"/>
              </w:rPr>
              <w:t>。</w:t>
            </w:r>
          </w:p>
        </w:tc>
      </w:tr>
    </w:tbl>
    <w:p w14:paraId="082D901F">
      <w:pPr>
        <w:pStyle w:val="26"/>
        <w:keepNext/>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注：本表内容与投标人须知内容不一致的，以本表内容为准。</w:t>
      </w:r>
    </w:p>
    <w:p w14:paraId="1CC22D95">
      <w:pPr>
        <w:rPr>
          <w:rFonts w:hint="eastAsia" w:ascii="宋体" w:hAnsi="宋体" w:eastAsia="宋体" w:cs="宋体"/>
          <w:b/>
          <w:color w:val="auto"/>
          <w:kern w:val="0"/>
          <w:sz w:val="32"/>
          <w:szCs w:val="32"/>
          <w:highlight w:val="none"/>
        </w:rPr>
      </w:pPr>
      <w:bookmarkStart w:id="10" w:name="_Toc180347450"/>
      <w:r>
        <w:rPr>
          <w:rFonts w:hint="eastAsia" w:ascii="宋体" w:hAnsi="宋体" w:eastAsia="宋体" w:cs="宋体"/>
          <w:b/>
          <w:color w:val="auto"/>
          <w:kern w:val="0"/>
          <w:sz w:val="32"/>
          <w:szCs w:val="32"/>
          <w:highlight w:val="none"/>
        </w:rPr>
        <w:br w:type="page"/>
      </w:r>
    </w:p>
    <w:p w14:paraId="1C9F97FC">
      <w:pPr>
        <w:keepNext/>
        <w:ind w:firstLine="643"/>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电子投标须知附表</w:t>
      </w:r>
      <w:bookmarkEnd w:id="10"/>
    </w:p>
    <w:tbl>
      <w:tblPr>
        <w:tblStyle w:val="20"/>
        <w:tblW w:w="5511" w:type="pct"/>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943"/>
        <w:gridCol w:w="7393"/>
      </w:tblGrid>
      <w:tr w14:paraId="6DDD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825" w:type="dxa"/>
            <w:vAlign w:val="center"/>
          </w:tcPr>
          <w:p w14:paraId="07B8BBAA">
            <w:pPr>
              <w:keepNext/>
              <w:adjustRightInd w:val="0"/>
              <w:snapToGrid w:val="0"/>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83" w:type="dxa"/>
            <w:vAlign w:val="center"/>
          </w:tcPr>
          <w:p w14:paraId="53FF2FE3">
            <w:pPr>
              <w:keepNext/>
              <w:adjustRightInd w:val="0"/>
              <w:snapToGrid w:val="0"/>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6785" w:type="dxa"/>
            <w:vAlign w:val="center"/>
          </w:tcPr>
          <w:p w14:paraId="440A2228">
            <w:pPr>
              <w:keepNext/>
              <w:adjustRightInd w:val="0"/>
              <w:snapToGrid w:val="0"/>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编列内容</w:t>
            </w:r>
          </w:p>
        </w:tc>
      </w:tr>
      <w:tr w14:paraId="539F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2BAC5D3B">
            <w:pPr>
              <w:keepNext/>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83" w:type="dxa"/>
            <w:shd w:val="clear" w:color="auto" w:fill="auto"/>
            <w:vAlign w:val="center"/>
          </w:tcPr>
          <w:p w14:paraId="1385DEEF">
            <w:pPr>
              <w:keepNext/>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投标文件编制、提交</w:t>
            </w:r>
          </w:p>
        </w:tc>
        <w:tc>
          <w:tcPr>
            <w:tcW w:w="6785" w:type="dxa"/>
            <w:shd w:val="clear" w:color="auto" w:fill="auto"/>
            <w:vAlign w:val="center"/>
          </w:tcPr>
          <w:p w14:paraId="2C5CD289">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33C0BC1F">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1.2上传电子投标文件时，需对应系统中每个模块形成独立的PDF格式文件，并按对应模块要求，逐条上传相应内容，将所有内容上传完成后保存、加密、递交（提交）。</w:t>
            </w:r>
          </w:p>
          <w:p w14:paraId="71A27696">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1.3投标文件中所附各类证件、证书、证明等，均随投标文件统一编排页码后上传。</w:t>
            </w:r>
          </w:p>
        </w:tc>
      </w:tr>
      <w:tr w14:paraId="0D3D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3999CB7E">
            <w:pPr>
              <w:keepNext/>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83" w:type="dxa"/>
            <w:shd w:val="clear" w:color="auto" w:fill="auto"/>
            <w:vAlign w:val="center"/>
          </w:tcPr>
          <w:p w14:paraId="0061E856">
            <w:pPr>
              <w:keepNext/>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电子投标文件解密</w:t>
            </w:r>
          </w:p>
        </w:tc>
        <w:tc>
          <w:tcPr>
            <w:tcW w:w="6785" w:type="dxa"/>
            <w:shd w:val="clear" w:color="auto" w:fill="auto"/>
            <w:vAlign w:val="center"/>
          </w:tcPr>
          <w:p w14:paraId="2B80AA50">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在招标文件规定的投标文件解密时间，采购代理机构应通过山西政府采购平台发出解密指令，投标人收到解密指令后，须使用加密投标文件时所使用的CA数字证书对已递交（上传）的投标文件进行解密（远程解密）。</w:t>
            </w:r>
          </w:p>
          <w:p w14:paraId="50E3A8D3">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2.2投标文件解密时间：</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分钟。</w:t>
            </w:r>
          </w:p>
          <w:p w14:paraId="4F204F44">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2.3投标文件解密流程：使用用户名密码或CA数字证书登录山西政府采购平台→项目采购→开标评标→找到对应项目→解密→输入CA密码→开始下载→解密完成。</w:t>
            </w:r>
          </w:p>
          <w:p w14:paraId="7FF50C02">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2.4因投标人使用非本次投标文件加密用CA数字证书解密、使用的属于注销或无效或损坏的CA数字证书解密、网络不畅等自身原因造成投标文件未在规定时间内解密的，视为未提交投标文件。</w:t>
            </w:r>
          </w:p>
        </w:tc>
      </w:tr>
      <w:tr w14:paraId="1487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7C106CEB">
            <w:pPr>
              <w:keepNext/>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83" w:type="dxa"/>
            <w:shd w:val="clear" w:color="auto" w:fill="auto"/>
            <w:vAlign w:val="center"/>
          </w:tcPr>
          <w:p w14:paraId="0726F6CF">
            <w:pPr>
              <w:keepNext/>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6785" w:type="dxa"/>
            <w:shd w:val="clear" w:color="auto" w:fill="auto"/>
            <w:vAlign w:val="center"/>
          </w:tcPr>
          <w:p w14:paraId="1A711469">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3.1本项目采购活动实行全流程电子化。评标委员会以经投标人CA加密的电子文件为评审依据（特殊情况下，启用备份文件的除外），投标人对所提供材料的真实性和一致性负责。</w:t>
            </w:r>
          </w:p>
          <w:p w14:paraId="0E5D874A">
            <w:pPr>
              <w:keepNext/>
              <w:topLinePunct/>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3.2项目中标后，代理机构使用CA签章直接以电子文档形式在线向中标人发送中标通知书，不再发送纸质中标通知书。</w:t>
            </w:r>
          </w:p>
        </w:tc>
      </w:tr>
    </w:tbl>
    <w:p w14:paraId="0BD88831">
      <w:pPr>
        <w:keepNext/>
        <w:overflowPunct w:val="0"/>
        <w:topLinePunct/>
        <w:autoSpaceDN w:val="0"/>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注：本表内容与投标人须知内容不一致的，以本表内容为准。</w:t>
      </w:r>
    </w:p>
    <w:p w14:paraId="7C618667">
      <w:pPr>
        <w:keepNext/>
        <w:ind w:firstLine="643"/>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8E7834F">
      <w:pPr>
        <w:keepNext/>
        <w:tabs>
          <w:tab w:val="left" w:pos="2070"/>
          <w:tab w:val="center" w:pos="4365"/>
        </w:tabs>
        <w:adjustRightInd w:val="0"/>
        <w:snapToGrid w:val="0"/>
        <w:spacing w:line="360" w:lineRule="auto"/>
        <w:ind w:firstLine="643"/>
        <w:jc w:val="center"/>
        <w:outlineLvl w:val="0"/>
        <w:rPr>
          <w:rFonts w:hint="eastAsia" w:ascii="宋体" w:hAnsi="宋体" w:eastAsia="宋体" w:cs="宋体"/>
          <w:b/>
          <w:color w:val="auto"/>
          <w:kern w:val="0"/>
          <w:sz w:val="32"/>
          <w:szCs w:val="32"/>
          <w:highlight w:val="none"/>
        </w:rPr>
      </w:pPr>
      <w:bookmarkStart w:id="11" w:name="_Toc180347451"/>
      <w:r>
        <w:rPr>
          <w:rFonts w:hint="eastAsia" w:ascii="宋体" w:hAnsi="宋体" w:eastAsia="宋体" w:cs="宋体"/>
          <w:b/>
          <w:color w:val="auto"/>
          <w:kern w:val="0"/>
          <w:sz w:val="32"/>
          <w:szCs w:val="32"/>
          <w:highlight w:val="none"/>
        </w:rPr>
        <w:t>第三部分  投标人须知</w:t>
      </w:r>
      <w:bookmarkEnd w:id="11"/>
    </w:p>
    <w:p w14:paraId="3D77092A">
      <w:pPr>
        <w:keepNex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12" w:name="_Toc9096"/>
      <w:bookmarkStart w:id="13" w:name="_Toc180347452"/>
      <w:r>
        <w:rPr>
          <w:rFonts w:hint="eastAsia" w:ascii="宋体" w:hAnsi="宋体" w:eastAsia="宋体" w:cs="宋体"/>
          <w:b/>
          <w:color w:val="auto"/>
          <w:kern w:val="0"/>
          <w:sz w:val="24"/>
          <w:highlight w:val="none"/>
        </w:rPr>
        <w:t>一、总则</w:t>
      </w:r>
      <w:bookmarkEnd w:id="12"/>
      <w:bookmarkEnd w:id="13"/>
    </w:p>
    <w:p w14:paraId="195D9407">
      <w:pPr>
        <w:keepNext/>
        <w:tabs>
          <w:tab w:val="left" w:pos="737"/>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 适用范围</w:t>
      </w:r>
    </w:p>
    <w:p w14:paraId="1C0C95BA">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本招标文件适用于本次招标活动的全过程。</w:t>
      </w:r>
    </w:p>
    <w:p w14:paraId="63006BCE">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 定义</w:t>
      </w:r>
    </w:p>
    <w:p w14:paraId="09DD7453">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2.1采购人：指拟采购货物的使用单位。即：</w:t>
      </w:r>
      <w:r>
        <w:rPr>
          <w:rFonts w:hint="eastAsia" w:ascii="宋体" w:hAnsi="宋体" w:cs="宋体"/>
          <w:color w:val="auto"/>
          <w:kern w:val="0"/>
          <w:sz w:val="24"/>
          <w:highlight w:val="none"/>
          <w:lang w:eastAsia="zh-CN"/>
        </w:rPr>
        <w:t>山西大学</w:t>
      </w:r>
      <w:r>
        <w:rPr>
          <w:rFonts w:hint="eastAsia" w:ascii="宋体" w:hAnsi="宋体" w:eastAsia="宋体" w:cs="宋体"/>
          <w:color w:val="auto"/>
          <w:kern w:val="0"/>
          <w:sz w:val="24"/>
          <w:highlight w:val="none"/>
        </w:rPr>
        <w:t>。</w:t>
      </w:r>
    </w:p>
    <w:p w14:paraId="2EAC01F3">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kern w:val="0"/>
          <w:sz w:val="24"/>
          <w:highlight w:val="none"/>
        </w:rPr>
        <w:t>采购代理机构：指在采购人委托范围内依法从事政府采购业务，组织本项目采购活动的社会中介机构，即“</w:t>
      </w:r>
      <w:r>
        <w:rPr>
          <w:rFonts w:hint="eastAsia" w:ascii="宋体" w:hAnsi="宋体" w:cs="宋体"/>
          <w:color w:val="auto"/>
          <w:kern w:val="0"/>
          <w:sz w:val="24"/>
          <w:highlight w:val="none"/>
          <w:lang w:val="en-US" w:eastAsia="zh-CN"/>
        </w:rPr>
        <w:t>山西晋鑫项目管理有限公司</w:t>
      </w:r>
      <w:r>
        <w:rPr>
          <w:rFonts w:hint="eastAsia" w:ascii="宋体" w:hAnsi="宋体" w:eastAsia="宋体" w:cs="宋体"/>
          <w:color w:val="auto"/>
          <w:kern w:val="0"/>
          <w:sz w:val="24"/>
          <w:highlight w:val="none"/>
        </w:rPr>
        <w:t>”。</w:t>
      </w:r>
    </w:p>
    <w:p w14:paraId="03A8139E">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2.3潜在投标人：指具备本项目资格条件，有能力向采购人提供符合本项目技术和服务要求的货物的法人、其他组织或者自然人。</w:t>
      </w:r>
    </w:p>
    <w:p w14:paraId="2BC66175">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2.4投标人：指在本项目规定时间内向采购代理机构提交投标文件且参加本次招标活动的潜在投标人。</w:t>
      </w:r>
    </w:p>
    <w:p w14:paraId="145B5765">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2.5货物：指投标人向采购人有偿提供符合本招标文件技术要求的各种形态和种类的物品，包括原材料、燃料、设备、产品等。</w:t>
      </w:r>
    </w:p>
    <w:p w14:paraId="3D6DD277">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2.6服务：指投标人向采购人提供的为完成本项目所需承担和履行的全部义务，包括货物的运输、安装、调试、验收、免费配套服务及本招标文件和合同中规定由投标人承担的其他服务要求与义务。</w:t>
      </w:r>
    </w:p>
    <w:p w14:paraId="100CAA47">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79154D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投标文件：是指参加本项目投标活动的投标人按招标文件的条件、要求及规定编制的文件，是本项目招标投标活动的主要评审依据。投标文件应对招标文件提出的要求和条件作出实质性响应，投标人应对其提交的投标文件的真实性、合法性承担相应法律责任。</w:t>
      </w:r>
    </w:p>
    <w:p w14:paraId="7DF93634">
      <w:pPr>
        <w:keepNext/>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3.合格投标人的条件</w:t>
      </w:r>
    </w:p>
    <w:p w14:paraId="24B7FCCF">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满足《中华人民共和国政府采购法》第二十二条第一款投标人的资格条件、落实政府采购政策需满足的资格要求与本项目特定资格条件。参加本采购项目活动的投标人需按投标人须知前附表第5项要求提供相应的资格证明文件。</w:t>
      </w:r>
    </w:p>
    <w:p w14:paraId="0BD34C63">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3.2为本项目提供整体设计、规范编制或者项目管理、监理、检测等服务的投标人，不得再参加本项目的投标。</w:t>
      </w:r>
    </w:p>
    <w:p w14:paraId="16B44E22">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3.3是否允许代理商参加投标（见投标人须知前附表第2项）。</w:t>
      </w:r>
    </w:p>
    <w:p w14:paraId="46ABE4C9">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3.4是否允许联合体投标（见投标人须知前附表第3项）。</w:t>
      </w:r>
    </w:p>
    <w:p w14:paraId="1E1FBB6C">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若本项目（包）接受联合体参加，联合体各方需遵循以下原则，否则评审时将被拒绝。</w:t>
      </w:r>
    </w:p>
    <w:p w14:paraId="530620D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（1）两个以上的法人或者其他组织或自然人可以组成一个联合体，以一个投标人的身份共同参加投标。</w:t>
      </w:r>
    </w:p>
    <w:p w14:paraId="28BA602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各方均应当符合《中华人民共和国政府采购法》第二十二条第一款规定的条件与本项目（包）落实政府采购政策需满足的资格要求。对本采购项目（包）根据特殊要求规定的投标人特定资格条件，联合体各方中至少应当有一方符合本特定资格条件。</w:t>
      </w:r>
    </w:p>
    <w:p w14:paraId="4C3C9BBB">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（3）联合体各方均应当提供投标人须知前附表第5项中1-7项要求的证明文件。</w:t>
      </w:r>
    </w:p>
    <w:p w14:paraId="06095197">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包）中参加投标活动，也不得组成新的联合体参加同一项目（包）的投标。</w:t>
      </w:r>
    </w:p>
    <w:p w14:paraId="3D168C1E">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（5）下载招标文件时，应以联合体协议中确定的主体方名义下载。</w:t>
      </w:r>
    </w:p>
    <w:p w14:paraId="46D19AC9">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（6）联合体参加投标的，应以主体方名义提交投标保证金（如有），对联合体各方均具有约束力。</w:t>
      </w:r>
    </w:p>
    <w:p w14:paraId="7B63D20F">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由同一专业的单位组成的联合体，按照同一项资质等级较低的单位确定资质等级。业绩等有关打分内容根据《联合投标协议书》约定的各方承担的工作和相应责任，确定一方打分，不累加打分；评审标准无明确或难以明确对应哪一方的打分内容按主体方打分。</w:t>
      </w:r>
    </w:p>
    <w:p w14:paraId="632E5F7B">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（8）如本项目不是专门面向中小企业的采购项目，联合体中任意一方为中小企业的，该方应提供《中小企业声明函》。</w:t>
      </w:r>
    </w:p>
    <w:p w14:paraId="76D4726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（9）联合体各方应当共同与采购人签订采购合同，就采购合同约定的事项对采购人承担连带责任。</w:t>
      </w:r>
    </w:p>
    <w:p w14:paraId="7523D88E">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3.5关于关联企业</w:t>
      </w:r>
    </w:p>
    <w:p w14:paraId="0BBFD4E1">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除联合体外，法定代表人或单位负责人为同一个人或者存在直接控股、管理关系的不同投标人，不得同时参加同一项目或同一子项目的投标。如同时参加，则评审时将同时被拒绝。</w:t>
      </w:r>
    </w:p>
    <w:p w14:paraId="05699D4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3.6关于中小微企业参与投标</w:t>
      </w:r>
    </w:p>
    <w:p w14:paraId="52876AA1">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中小企业：是指符合《政府采购促进中小企业发展管理办法》（财库[2020]46号）规定的企业。参与投标人的投标人应当出具投报产品的制造商为中小企业的《中小企业声明函》。</w:t>
      </w:r>
    </w:p>
    <w:p w14:paraId="4D09FD09">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监狱企业：视同小型、微型企业，监狱企业参加时，提供由省级以上监狱管理局、戒毒管理局（含新疆生产建设兵团）出具的属于监狱企业的证明文件，不再提供《中小企业声明函》。</w:t>
      </w:r>
    </w:p>
    <w:p w14:paraId="7FD1CEC1">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残疾人福利性单位：视同为小型、微型企业。残疾人单位参加本项目时，应当提供本通知规定的《残疾人福利性单位声明函》，不再提供《中小企业声明函》。</w:t>
      </w:r>
    </w:p>
    <w:p w14:paraId="5CC3ACF8">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3.7关于分公司投标</w:t>
      </w:r>
    </w:p>
    <w:p w14:paraId="2EAAA47F">
      <w:pPr>
        <w:keepNext/>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分公司参与本项目投标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CBA2CFA">
      <w:pPr>
        <w:keepNext/>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777794B3">
      <w:pPr>
        <w:keepNext/>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4.合格的货物</w:t>
      </w:r>
    </w:p>
    <w:p w14:paraId="4AD8BBDF">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4.1投标人所提供的货物应当是没有侵犯任何第三方的知识产权、技术秘密等合法权利的货物。</w:t>
      </w:r>
    </w:p>
    <w:p w14:paraId="60264F57">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4.2系统软件、通用软件必须是具有在中国境内的合法使用权或版权的正版软件。</w:t>
      </w:r>
    </w:p>
    <w:p w14:paraId="6073F063">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4.3投标人提供的货物应完全符合国家、行业或地方的相关质量标准，提供货物的技术指标、配套服务要求应当符合本招标文件要求。</w:t>
      </w:r>
    </w:p>
    <w:p w14:paraId="69C9038D">
      <w:pPr>
        <w:keepNext/>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5.投标费用</w:t>
      </w:r>
    </w:p>
    <w:p w14:paraId="21C61761">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投标人应承担准备和参与投标有关的所有费用，采购人、采购代理机构在任何情况下均无义务和责任承担这些费用。</w:t>
      </w:r>
    </w:p>
    <w:p w14:paraId="67D99C3E">
      <w:pPr>
        <w:keepNext/>
        <w:tabs>
          <w:tab w:val="left" w:pos="567"/>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6.招标要求</w:t>
      </w:r>
    </w:p>
    <w:p w14:paraId="56047D78">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6.1投标人所提供的服务方案与技术方案被采购人采用时，中标人所提供的货物、服务及相关内容必须符合本招标文件的要求并按要求实施，并认真履行合同规定的相关条款。</w:t>
      </w:r>
    </w:p>
    <w:p w14:paraId="17D55BAB">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采购人、采购代理机构可以在招标公告中规定的招标文件获取时间截止后，组织已获取招标文件的潜在投标人现场勘查或者召开标前答疑会。是否组织现场勘查或者召开答疑会，详见投标人前附表第11、12项。而无论采购代理机构是否安排踏勘现场，潜在投标人均应当将相关的因素作为投标所应当考虑或依据的因素。</w:t>
      </w:r>
    </w:p>
    <w:p w14:paraId="04BDE0ED">
      <w:pPr>
        <w:keepNext/>
        <w:tabs>
          <w:tab w:val="left" w:pos="567"/>
        </w:tabs>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7.通知</w:t>
      </w:r>
    </w:p>
    <w:p w14:paraId="003E522E">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对与本项目有关的通知，采购代理机构将通过山西政府采购平台以电子文档发出，因线路故障导致通知延迟或无法查看，代理机构或采购方将不承担任何责任，有关的招标投标活动可以继续有效地进行。</w:t>
      </w:r>
    </w:p>
    <w:p w14:paraId="37AA403F">
      <w:pPr>
        <w:keepNext/>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8.解释权</w:t>
      </w:r>
    </w:p>
    <w:p w14:paraId="22F02DBA">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8.1本次招投标的最终解释权归为采购人、采购代理机构。</w:t>
      </w:r>
    </w:p>
    <w:p w14:paraId="77226477">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8.2当对一个问题有多种解释时，以采购人、采购代理机构按照相关法律法规规定的解释为准。</w:t>
      </w:r>
    </w:p>
    <w:p w14:paraId="46E7CE61">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8.3本文件未作须知明示，而又有相关法律、法规规定的，采购人、采购代理机构将依据相关法律法规的规定进行解释。</w:t>
      </w:r>
    </w:p>
    <w:p w14:paraId="09A9F784">
      <w:pPr>
        <w:keepNex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14" w:name="_Toc180347453"/>
      <w:bookmarkStart w:id="15" w:name="_Toc32547"/>
      <w:r>
        <w:rPr>
          <w:rFonts w:hint="eastAsia" w:ascii="宋体" w:hAnsi="宋体" w:eastAsia="宋体" w:cs="宋体"/>
          <w:b/>
          <w:color w:val="auto"/>
          <w:kern w:val="0"/>
          <w:sz w:val="24"/>
          <w:highlight w:val="none"/>
        </w:rPr>
        <w:t>二、招标文件组成、澄清和修改</w:t>
      </w:r>
      <w:bookmarkEnd w:id="14"/>
      <w:bookmarkEnd w:id="15"/>
    </w:p>
    <w:p w14:paraId="29EEC7B1">
      <w:pPr>
        <w:keepNext/>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9.招标文件的组成</w:t>
      </w:r>
    </w:p>
    <w:p w14:paraId="450CCC1F">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9.1招标文件由下列</w:t>
      </w: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部分内容组成：</w:t>
      </w:r>
    </w:p>
    <w:p w14:paraId="2868900C">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第一部分 招标公告；</w:t>
      </w:r>
    </w:p>
    <w:p w14:paraId="48983F5E">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第二部分 投标人须知前附表；</w:t>
      </w:r>
    </w:p>
    <w:p w14:paraId="4C4DEEE1">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第三部分 投标人须知；</w:t>
      </w:r>
    </w:p>
    <w:p w14:paraId="285844D5">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第四部分 评审方法和评审标准；</w:t>
      </w:r>
    </w:p>
    <w:p w14:paraId="66B028DE">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第五部分 商务、技术要求；</w:t>
      </w:r>
    </w:p>
    <w:p w14:paraId="1F32A556">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第六部分 拟签订的合同文本；</w:t>
      </w:r>
    </w:p>
    <w:p w14:paraId="5EA309A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第七部分 投标文件格式；</w:t>
      </w:r>
    </w:p>
    <w:p w14:paraId="0352F390">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第八部分 相关附件</w:t>
      </w:r>
    </w:p>
    <w:p w14:paraId="251E6C47">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9.2投标人应详细阅读招标文件的全部内容。如果没有按照招标文件要求提交全部资料或者没有对招标文件在各方面做出实质性响应，有可能被确定为投标无效。</w:t>
      </w:r>
    </w:p>
    <w:p w14:paraId="7985D7E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9.3除特殊要求外，招标文件不单独提供本采购项目使用地的自然环境、气候条件、公用设施等情况，投标人被视为熟悉上述与履行合同有关的一切情况。</w:t>
      </w:r>
    </w:p>
    <w:p w14:paraId="1034BFB0">
      <w:pPr>
        <w:keepNext/>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10．招标文件的澄清和修改</w:t>
      </w:r>
    </w:p>
    <w:p w14:paraId="4171A7E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10.1采购人、采购代理机构对招标文件澄清和修改的时间及方式：</w:t>
      </w:r>
    </w:p>
    <w:p w14:paraId="6193A20B">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招标公告中规定的提交首次投标文件截止之日前，采购人、采购代理机构可以对已发出的招标文件进行必要的澄清或修改，其内容作为招标文件的组成部分。澄清或修改的内容可能影响投标文件编制的，采购人、采购代理机构应当在投标截止时间至少15日前，通过中国政府采购网山西分网发布更正公告。不足15日的，应当顺延提交投标文件的截止时间。</w:t>
      </w:r>
    </w:p>
    <w:p w14:paraId="2C002EC3">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10.2更正公告中包括更正事项、更正前内容、更正后内容，但不包括更正内容的来源。</w:t>
      </w:r>
    </w:p>
    <w:p w14:paraId="6F87C2D7">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10.3潜在投标人对招标文件的询问时间及方式：</w:t>
      </w:r>
    </w:p>
    <w:p w14:paraId="1418D3F3">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任何已下载了招标文件的潜在投标人，对招标文件进行的询问，均应在招标公告中规定的提交投标文件截止时间前，通过山西政府采购平台将询问的事项提交给采购人、采购代理机构。</w:t>
      </w:r>
    </w:p>
    <w:p w14:paraId="11748C0C">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10.4澄清、修改及其它答复的效力：</w:t>
      </w:r>
    </w:p>
    <w:p w14:paraId="2969735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采购人、采购代理机构一旦对招标文件做出澄清或修改，即发生效力，对所有投标人均具有约束力。</w:t>
      </w:r>
    </w:p>
    <w:p w14:paraId="1899619A">
      <w:pPr>
        <w:keepNex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16" w:name="_Toc180347454"/>
      <w:bookmarkStart w:id="17" w:name="_Toc5439"/>
      <w:r>
        <w:rPr>
          <w:rFonts w:hint="eastAsia" w:ascii="宋体" w:hAnsi="宋体" w:eastAsia="宋体" w:cs="宋体"/>
          <w:b/>
          <w:color w:val="auto"/>
          <w:kern w:val="0"/>
          <w:sz w:val="24"/>
          <w:highlight w:val="none"/>
        </w:rPr>
        <w:t>三、投标文件组成、编制与要求</w:t>
      </w:r>
      <w:bookmarkEnd w:id="16"/>
      <w:bookmarkEnd w:id="17"/>
      <w:r>
        <w:rPr>
          <w:rFonts w:hint="eastAsia" w:ascii="宋体" w:hAnsi="宋体" w:eastAsia="宋体" w:cs="宋体"/>
          <w:b/>
          <w:color w:val="auto"/>
          <w:kern w:val="0"/>
          <w:sz w:val="24"/>
          <w:highlight w:val="none"/>
        </w:rPr>
        <w:t xml:space="preserve">      </w:t>
      </w:r>
    </w:p>
    <w:p w14:paraId="110D4788">
      <w:pPr>
        <w:keepNext/>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11.投标文件的组成</w:t>
      </w:r>
    </w:p>
    <w:p w14:paraId="1E8F05B5">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11.1投标文件由资格证明文件和商务技术文件两部分组成。</w:t>
      </w:r>
    </w:p>
    <w:p w14:paraId="588326AC">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11.2资格证明文件：指投标人对招标文件前附表第5项“投标人应提交的资格证明文件”作出响应证明其有资格参加投标的证明文件。</w:t>
      </w:r>
    </w:p>
    <w:p w14:paraId="5D6FC181">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11.3商务、技术文件：指投标人对招标文件前附表第6项“投标人应提交的商务、技术文件”、第7项“政府采购相关政策要求”作出响应证明其有能力提供采购标的、履行合同义务的证明文件。</w:t>
      </w:r>
    </w:p>
    <w:p w14:paraId="367990C6">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11.4如投标人参加多包投标的，应按包分别独立制作投标文件。</w:t>
      </w:r>
    </w:p>
    <w:p w14:paraId="76E49948">
      <w:pPr>
        <w:keepNext/>
        <w:tabs>
          <w:tab w:val="left" w:pos="0"/>
        </w:tabs>
        <w:topLinePunct/>
        <w:adjustRightInd w:val="0"/>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12.投标文件编制与要求</w:t>
      </w:r>
    </w:p>
    <w:p w14:paraId="4DEA1E13">
      <w:pPr>
        <w:keepNext/>
        <w:tabs>
          <w:tab w:val="left" w:pos="0"/>
        </w:tabs>
        <w:topLinePunct/>
        <w:adjustRightInd w:val="0"/>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12.1投标文件的语言和计量单位要求</w:t>
      </w:r>
    </w:p>
    <w:p w14:paraId="639CB873">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12.1.1投标人提交的投标文件（包括商务、技术文件和资料中的说明）以及投标人与采购人、采购代理机构就有关招标投标的所有往来函均应使用中文简体字。</w:t>
      </w:r>
    </w:p>
    <w:p w14:paraId="1E778F28">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12.1.2投标文件所使用的计量单位，应使用中华人民共和国法定计量单位。</w:t>
      </w:r>
    </w:p>
    <w:p w14:paraId="18F5A69B">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12.1.3原版为外文的证书类、证明类、资料类等文件以及外国人的本人签名、外国公司的名称或外国印章等可以是外文，但应当提供加盖投标人公章与原版文件相一致的中文翻译件。必要时评标委员会可以要求投标人提供附有公证书的中文翻译件。否则，产生的不利后果由投标人承担。</w:t>
      </w:r>
    </w:p>
    <w:p w14:paraId="124ED910">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原版为外文的证书类、证明类、资料类文件，存在与投标人名称或其它实际情况不符情形的，投标人应当提供相关证明文件。</w:t>
      </w:r>
    </w:p>
    <w:p w14:paraId="4FA4885F">
      <w:pPr>
        <w:keepNext/>
        <w:topLinePunct/>
        <w:adjustRightInd w:val="0"/>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12.2编制格式要求</w:t>
      </w:r>
    </w:p>
    <w:p w14:paraId="25B54F7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57EC2645">
      <w:pPr>
        <w:keepNext/>
        <w:topLinePunct/>
        <w:adjustRightInd w:val="0"/>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12.3编排要求</w:t>
      </w:r>
    </w:p>
    <w:p w14:paraId="5AF0ACE0">
      <w:pPr>
        <w:keepNext/>
        <w:topLinePunct/>
        <w:adjustRightInd w:val="0"/>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投标文件采用A4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14:paraId="2253DC50">
      <w:pPr>
        <w:keepNext/>
        <w:tabs>
          <w:tab w:val="left" w:pos="567"/>
        </w:tabs>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13.投标文件填写说明</w:t>
      </w:r>
    </w:p>
    <w:p w14:paraId="2C9DE370">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13.1投标人应详细阅读本招标文件的全部内容，应对本招标文件要求做出实质性和完整性的响应。并对投标文件所提供的全部资料的真实性、可靠性负责，接受评标委员会对其中任何资料进一步审查。    </w:t>
      </w:r>
    </w:p>
    <w:p w14:paraId="48511B08">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13.2因投标文件字迹潦草、提交资料不清晰或表达不清楚所引起的不利后果由投标人自行承担。</w:t>
      </w:r>
    </w:p>
    <w:p w14:paraId="0EFB1352">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投标文件应严格按照招标文件第七部分“投标文件格式”中提供的格式内容要求逐项填写，不准有空项、缺项、漏项；无相应响应项的内容，应填写“无”、“未测试”、“没有相应指标”、“/”等明确的回答。</w:t>
      </w:r>
    </w:p>
    <w:p w14:paraId="6A11903B">
      <w:pPr>
        <w:keepNext/>
        <w:tabs>
          <w:tab w:val="left" w:pos="567"/>
        </w:tabs>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13.4为提倡诚实信用的投标行为，投标人应本着诚信原则，投标人根据实际情况，在投标文件商务、技术响应表内容中，对招标文件的各项商务、技术</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服务要求逐条做出真实响应，并以审慎的态度明确、清楚地披露其响应情况</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投标文件</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rPr>
        <w:t>表中</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“投标文件响应内容”未对招标文件内容逐条</w:t>
      </w:r>
      <w:r>
        <w:rPr>
          <w:rFonts w:hint="eastAsia" w:ascii="宋体" w:hAnsi="宋体" w:cs="宋体"/>
          <w:color w:val="auto"/>
          <w:kern w:val="0"/>
          <w:sz w:val="24"/>
          <w:highlight w:val="none"/>
          <w:lang w:val="en-US" w:eastAsia="zh-CN"/>
        </w:rPr>
        <w:t>做出真实响应，仅在</w:t>
      </w:r>
      <w:r>
        <w:rPr>
          <w:rFonts w:hint="eastAsia" w:ascii="宋体" w:hAnsi="宋体" w:cs="宋体"/>
          <w:color w:val="auto"/>
          <w:kern w:val="0"/>
          <w:sz w:val="24"/>
          <w:highlight w:val="none"/>
        </w:rPr>
        <w:t>“投标文件响应内容”中填写“响应”、“完全响应”、“无偏离”、“/”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空白等</w:t>
      </w:r>
      <w:r>
        <w:rPr>
          <w:rFonts w:hint="eastAsia" w:ascii="宋体" w:hAnsi="宋体" w:cs="宋体"/>
          <w:color w:val="auto"/>
          <w:kern w:val="0"/>
          <w:sz w:val="24"/>
          <w:highlight w:val="none"/>
          <w:lang w:val="en-US" w:eastAsia="zh-CN"/>
        </w:rPr>
        <w:t>或在</w:t>
      </w:r>
      <w:r>
        <w:rPr>
          <w:rFonts w:hint="eastAsia" w:ascii="宋体" w:hAnsi="宋体" w:cs="宋体"/>
          <w:color w:val="auto"/>
          <w:kern w:val="0"/>
          <w:sz w:val="24"/>
          <w:highlight w:val="none"/>
        </w:rPr>
        <w:t>“招标文件商务要求”、“招标文件技术</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服务要求”</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“投标文件响应内容”</w:t>
      </w:r>
      <w:r>
        <w:rPr>
          <w:rFonts w:hint="eastAsia" w:ascii="宋体" w:hAnsi="宋体" w:cs="宋体"/>
          <w:color w:val="auto"/>
          <w:kern w:val="0"/>
          <w:sz w:val="24"/>
          <w:highlight w:val="none"/>
          <w:lang w:val="en-US" w:eastAsia="zh-CN"/>
        </w:rPr>
        <w:t>中仅填写</w:t>
      </w:r>
      <w:r>
        <w:rPr>
          <w:rFonts w:hint="eastAsia" w:ascii="宋体" w:hAnsi="宋体" w:cs="宋体"/>
          <w:color w:val="auto"/>
          <w:kern w:val="0"/>
          <w:sz w:val="24"/>
          <w:highlight w:val="none"/>
        </w:rPr>
        <w:t>“响应”、“完全响应”、“无偏离”、“/”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空白等情形</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，评标委员会</w:t>
      </w:r>
      <w:r>
        <w:rPr>
          <w:rFonts w:hint="eastAsia" w:ascii="宋体" w:hAnsi="宋体" w:cs="宋体"/>
          <w:color w:val="auto"/>
          <w:kern w:val="0"/>
          <w:sz w:val="24"/>
          <w:highlight w:val="none"/>
          <w:lang w:val="en-US" w:eastAsia="zh-CN"/>
        </w:rPr>
        <w:t>均有权按未实质上响应招标文件要求，否决其投标</w:t>
      </w:r>
      <w:r>
        <w:rPr>
          <w:rFonts w:hint="eastAsia" w:ascii="宋体" w:hAnsi="宋体" w:cs="宋体"/>
          <w:color w:val="auto"/>
          <w:kern w:val="0"/>
          <w:sz w:val="24"/>
          <w:highlight w:val="none"/>
        </w:rPr>
        <w:t>。</w:t>
      </w:r>
    </w:p>
    <w:p w14:paraId="7F4457AC">
      <w:pPr>
        <w:keepNext/>
        <w:tabs>
          <w:tab w:val="left" w:pos="567"/>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13.5在评审中，投标人投标文件“商务、技术响应表”的“投标文件响应内容”中存在重大偏离或被认定为属于重大偏离的，评标委员会有权按未实质上响应招标文件要求，否决其投标。</w:t>
      </w:r>
    </w:p>
    <w:p w14:paraId="375A10CD">
      <w:pPr>
        <w:keepNext/>
        <w:topLinePunct/>
        <w:adjustRightInd w:val="0"/>
        <w:snapToGrid w:val="0"/>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13.6响应情况：投标人根据实际响应情况与招标文件要求对比后，在投标文件“商务、技术响应表”的“响应情况”栏填写“无偏离”或“正偏离”或“负偏离”字样。</w:t>
      </w:r>
    </w:p>
    <w:p w14:paraId="77E1AF0D">
      <w:pPr>
        <w:keepNext/>
        <w:topLinePunct/>
        <w:adjustRightInd w:val="0"/>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14.报价要求</w:t>
      </w:r>
    </w:p>
    <w:p w14:paraId="5340E9ED">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14.1投标过程中的所有报价均以</w:t>
      </w:r>
      <w:r>
        <w:rPr>
          <w:rFonts w:hint="eastAsia" w:ascii="宋体" w:hAnsi="宋体" w:eastAsia="宋体" w:cs="宋体"/>
          <w:b/>
          <w:color w:val="auto"/>
          <w:kern w:val="0"/>
          <w:sz w:val="24"/>
          <w:highlight w:val="none"/>
        </w:rPr>
        <w:t>人民币</w:t>
      </w:r>
      <w:r>
        <w:rPr>
          <w:rFonts w:hint="eastAsia" w:ascii="宋体" w:hAnsi="宋体" w:eastAsia="宋体" w:cs="宋体"/>
          <w:color w:val="auto"/>
          <w:kern w:val="0"/>
          <w:sz w:val="24"/>
          <w:highlight w:val="none"/>
        </w:rPr>
        <w:t>“元”为计算单位</w:t>
      </w:r>
      <w:r>
        <w:rPr>
          <w:rFonts w:hint="eastAsia" w:ascii="宋体" w:hAnsi="宋体" w:eastAsia="宋体" w:cs="宋体"/>
          <w:color w:val="auto"/>
          <w:sz w:val="24"/>
          <w:highlight w:val="none"/>
        </w:rPr>
        <w:t>。</w:t>
      </w:r>
    </w:p>
    <w:p w14:paraId="56A6432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14.2国产货物报价</w:t>
      </w:r>
    </w:p>
    <w:p w14:paraId="4CE8F20C">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“开标一览表”、“分项报价表（如有）”中只要填报了一个确定数额的价格，报价应被视为</w:t>
      </w:r>
      <w:r>
        <w:rPr>
          <w:rFonts w:hint="eastAsia" w:ascii="宋体" w:hAnsi="宋体" w:eastAsia="宋体" w:cs="宋体"/>
          <w:snapToGrid w:val="0"/>
          <w:color w:val="auto"/>
          <w:kern w:val="0"/>
          <w:sz w:val="24"/>
          <w:highlight w:val="none"/>
        </w:rPr>
        <w:t>包含了</w:t>
      </w:r>
      <w:r>
        <w:rPr>
          <w:rFonts w:hint="eastAsia" w:ascii="宋体" w:hAnsi="宋体" w:eastAsia="宋体" w:cs="宋体"/>
          <w:b/>
          <w:bCs/>
          <w:snapToGrid w:val="0"/>
          <w:color w:val="auto"/>
          <w:kern w:val="0"/>
          <w:sz w:val="24"/>
          <w:highlight w:val="none"/>
        </w:rPr>
        <w:t>货物本身价格、</w:t>
      </w:r>
      <w:r>
        <w:rPr>
          <w:rFonts w:hint="eastAsia" w:ascii="宋体" w:hAnsi="宋体" w:eastAsia="宋体" w:cs="宋体"/>
          <w:color w:val="auto"/>
          <w:kern w:val="0"/>
          <w:sz w:val="24"/>
          <w:highlight w:val="none"/>
        </w:rPr>
        <w:t>将货物送到采购人指定地点所发生的包装、运输、保险、安装、调试、验收、配套服务费用以及相关税费等所有费用。</w:t>
      </w:r>
    </w:p>
    <w:p w14:paraId="661B0DB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14.3进口货物报价</w:t>
      </w:r>
    </w:p>
    <w:p w14:paraId="5805461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14.3.1“开标一览表”、“分项报价表（如有）”中只要填报了一个确定数额的价格，报价应被视为包含了以下费用：</w:t>
      </w:r>
    </w:p>
    <w:p w14:paraId="01B354C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（1）进口货物到岸价（即CIF价格）；</w:t>
      </w:r>
    </w:p>
    <w:p w14:paraId="208B6C74">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（2）货物进口环节在国内发生的外贸代理服务、银行手续、报关、卫检、动植物检验检疫、商检、仓储、软件认证等所有相关费用以及相关税费；</w:t>
      </w:r>
    </w:p>
    <w:p w14:paraId="3FB4140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（3）货物到岸后，将货物运送至采购人指定地点所发生的运输、装卸、保险、安装、调试、验收、配套服务费用等所有相关费用以及相关税费；</w:t>
      </w:r>
    </w:p>
    <w:p w14:paraId="08946D7C">
      <w:pPr>
        <w:keepNext/>
        <w:topLinePunct/>
        <w:adjustRightInd w:val="0"/>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14.3.2</w:t>
      </w:r>
      <w:r>
        <w:rPr>
          <w:rFonts w:hint="eastAsia" w:ascii="宋体" w:hAnsi="宋体" w:eastAsia="宋体" w:cs="宋体"/>
          <w:b/>
          <w:bCs/>
          <w:color w:val="auto"/>
          <w:kern w:val="0"/>
          <w:sz w:val="24"/>
          <w:highlight w:val="none"/>
        </w:rPr>
        <w:t>投标货物为</w:t>
      </w:r>
      <w:r>
        <w:rPr>
          <w:rFonts w:hint="eastAsia" w:ascii="宋体" w:hAnsi="宋体" w:eastAsia="宋体" w:cs="宋体"/>
          <w:color w:val="auto"/>
          <w:kern w:val="0"/>
          <w:sz w:val="24"/>
          <w:highlight w:val="none"/>
        </w:rPr>
        <w:t>中华人民共和国海关总署公告2021年第44号《“十四五”期间进口科学研究、科技开发和教学用品免税清单》（第一批）第一项</w:t>
      </w:r>
      <w:r>
        <w:rPr>
          <w:rFonts w:hint="eastAsia" w:ascii="宋体" w:hAnsi="宋体" w:eastAsia="宋体" w:cs="宋体"/>
          <w:b/>
          <w:bCs/>
          <w:color w:val="auto"/>
          <w:kern w:val="0"/>
          <w:sz w:val="24"/>
          <w:highlight w:val="none"/>
        </w:rPr>
        <w:t>清单内的货物，须按14.3.1包含的费用加采购代理服务费进行填报。并在“开标一览表”、“分项报价表（如有）”备注栏内填写“免税价”字样。</w:t>
      </w:r>
    </w:p>
    <w:p w14:paraId="4C353092">
      <w:pPr>
        <w:keepNext/>
        <w:topLinePunct/>
        <w:adjustRightInd w:val="0"/>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14.3.3投标货物为</w:t>
      </w:r>
      <w:r>
        <w:rPr>
          <w:rFonts w:hint="eastAsia" w:ascii="宋体" w:hAnsi="宋体" w:eastAsia="宋体" w:cs="宋体"/>
          <w:color w:val="auto"/>
          <w:kern w:val="0"/>
          <w:sz w:val="24"/>
          <w:highlight w:val="none"/>
        </w:rPr>
        <w:t>中华人民共和国海关总署公告2021年第44号《“十四五”期间进口科学研究、科技开发和教学用品免税清单》（第一批）第一项外的货物，</w:t>
      </w:r>
      <w:r>
        <w:rPr>
          <w:rFonts w:hint="eastAsia" w:ascii="宋体" w:hAnsi="宋体" w:eastAsia="宋体" w:cs="宋体"/>
          <w:b/>
          <w:bCs/>
          <w:color w:val="auto"/>
          <w:kern w:val="0"/>
          <w:sz w:val="24"/>
          <w:highlight w:val="none"/>
        </w:rPr>
        <w:t>须按14.3.1包含的费用加</w:t>
      </w:r>
      <w:r>
        <w:rPr>
          <w:rFonts w:hint="eastAsia" w:ascii="宋体" w:hAnsi="宋体" w:eastAsia="宋体" w:cs="宋体"/>
          <w:color w:val="auto"/>
          <w:kern w:val="0"/>
          <w:sz w:val="24"/>
          <w:highlight w:val="none"/>
        </w:rPr>
        <w:t>采购代理服务费与进口环节所产生的相关税费（含关税、增值税、消费税）等费用</w:t>
      </w:r>
      <w:r>
        <w:rPr>
          <w:rFonts w:hint="eastAsia" w:ascii="宋体" w:hAnsi="宋体" w:eastAsia="宋体" w:cs="宋体"/>
          <w:b/>
          <w:bCs/>
          <w:color w:val="auto"/>
          <w:kern w:val="0"/>
          <w:sz w:val="24"/>
          <w:highlight w:val="none"/>
        </w:rPr>
        <w:t>进行填报。并在“开标一览表”、“分项报价表（如有）”备注栏内填写“不免税价”字样。</w:t>
      </w:r>
    </w:p>
    <w:p w14:paraId="38011C9B">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14.3.4对清单内货物，采购人负责办理外贸进出口公司在进口过程中需向海关提交的减免税相关证明材料。</w:t>
      </w:r>
    </w:p>
    <w:p w14:paraId="00545EAD">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14.4投标人应按各包报价要求整包填报“开标一览表”、“分项目报价表（若要求）”规定的内容，不得拆包、拆分报价。“分项目报价表”应对应“开标一览表”，投标人如果不提供分项报价明细表，其投标无效。</w:t>
      </w:r>
    </w:p>
    <w:p w14:paraId="2115AE9A">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14.5</w:t>
      </w:r>
      <w:r>
        <w:rPr>
          <w:rFonts w:hint="eastAsia" w:ascii="宋体" w:hAnsi="宋体" w:eastAsia="宋体" w:cs="宋体"/>
          <w:color w:val="auto"/>
          <w:kern w:val="0"/>
          <w:sz w:val="24"/>
          <w:highlight w:val="none"/>
        </w:rPr>
        <w:t>本次招标不接受可选择方案的报价。</w:t>
      </w:r>
    </w:p>
    <w:p w14:paraId="7A9B16DE">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14.6“开标一览表”、“分项报价表（若要求）”中的报价不得填写“免费”或“赠与”或“赠送”，也不得填报“零”报价，否则投标无效。</w:t>
      </w:r>
    </w:p>
    <w:p w14:paraId="22216D18">
      <w:pPr>
        <w:keepNext/>
        <w:topLinePunct/>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rPr>
        <w:t>14.7</w:t>
      </w:r>
      <w:r>
        <w:rPr>
          <w:rFonts w:hint="eastAsia" w:ascii="宋体" w:hAnsi="宋体" w:eastAsia="宋体" w:cs="宋体"/>
          <w:snapToGrid w:val="0"/>
          <w:color w:val="auto"/>
          <w:kern w:val="0"/>
          <w:sz w:val="24"/>
          <w:highlight w:val="none"/>
        </w:rPr>
        <w:t>由于分项报价填报不完整、不清楚或存在其它任何失误，所导致的任何不利后果均应当由投标人自行承担。</w:t>
      </w:r>
    </w:p>
    <w:p w14:paraId="2F453FF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14.8投标人对投标报价若有说明应在“开标一览表”、“分项报价表（若要求）”的“备注”栏内注明。</w:t>
      </w:r>
    </w:p>
    <w:p w14:paraId="4C808D0B">
      <w:pPr>
        <w:keepNext/>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14.9投标人“开标一览表”中的总报价应与“分项报价表（如有）”总报价一致。否则，分项报价按“开标一览表”总价与“分项报价”总价的相同比例进行调整，其风险由投标人自已承担。</w:t>
      </w:r>
    </w:p>
    <w:p w14:paraId="1C4E4116">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15.投标文件份数</w:t>
      </w:r>
    </w:p>
    <w:p w14:paraId="7C48F507">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本次招标投标人须提交的投标文件份数详见投标人须知前附表第4项。</w:t>
      </w:r>
    </w:p>
    <w:p w14:paraId="271DB451">
      <w:pPr>
        <w:keepNext/>
        <w:topLinePunct/>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16.投标文件的签署</w:t>
      </w:r>
    </w:p>
    <w:p w14:paraId="672D32ED">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16.1投标人提交投标文件中的各种证明、资料等的签署均应遵守本款规定。</w:t>
      </w:r>
    </w:p>
    <w:p w14:paraId="7DCF5B1B">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16.2本文件各种文件中涉及的“单位盖章”、“印章”、“公章”等均须使用与当事人名称全称相一致的</w:t>
      </w:r>
      <w:r>
        <w:rPr>
          <w:rFonts w:hint="eastAsia" w:ascii="宋体" w:hAnsi="宋体" w:eastAsia="宋体" w:cs="宋体"/>
          <w:b/>
          <w:bCs/>
          <w:color w:val="auto"/>
          <w:sz w:val="24"/>
          <w:highlight w:val="none"/>
        </w:rPr>
        <w:t>投标人CA数字证书电子印章进行签署</w:t>
      </w:r>
      <w:r>
        <w:rPr>
          <w:rFonts w:hint="eastAsia" w:ascii="宋体" w:hAnsi="宋体" w:eastAsia="宋体" w:cs="宋体"/>
          <w:color w:val="auto"/>
          <w:sz w:val="24"/>
          <w:highlight w:val="none"/>
        </w:rPr>
        <w:t>。否则将按投标无效处理。</w:t>
      </w:r>
    </w:p>
    <w:p w14:paraId="1E44EC5F">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16.3投标人应在投标文件中按照招标文件要求进行签署，未按要求签署的，将按投标无效处理。</w:t>
      </w:r>
    </w:p>
    <w:p w14:paraId="630D97D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16.4投标文件应字迹清楚、内容齐全、不得涂改或增删。如有修改和增删，必须加盖</w:t>
      </w:r>
      <w:r>
        <w:rPr>
          <w:rFonts w:hint="eastAsia" w:ascii="宋体" w:hAnsi="宋体" w:eastAsia="宋体" w:cs="宋体"/>
          <w:b/>
          <w:bCs/>
          <w:color w:val="auto"/>
          <w:sz w:val="24"/>
          <w:highlight w:val="none"/>
        </w:rPr>
        <w:t>投标人CA数字证书电子印章</w:t>
      </w:r>
      <w:r>
        <w:rPr>
          <w:rFonts w:hint="eastAsia" w:ascii="宋体" w:hAnsi="宋体" w:eastAsia="宋体" w:cs="宋体"/>
          <w:color w:val="auto"/>
          <w:sz w:val="24"/>
          <w:highlight w:val="none"/>
        </w:rPr>
        <w:t>。</w:t>
      </w:r>
    </w:p>
    <w:p w14:paraId="058A09C6">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16.5因投标文件字迹潦草或表达不清所引起的不利后果由投标人承担。</w:t>
      </w:r>
    </w:p>
    <w:p w14:paraId="77C169F5">
      <w:pPr>
        <w:keepNext/>
        <w:topLinePunct/>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17.投标文件的补充、修改和撤回</w:t>
      </w:r>
    </w:p>
    <w:p w14:paraId="14F526FD">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17.1投标人在投标文件提交截止时间前，可以对投标文件进行补充、修改，补充、修改的内容作为投标文件的组成部分。补充、修改内容需在“山西政府采购平台”上传加密，未进行上传的补充、修改内容无效。</w:t>
      </w:r>
    </w:p>
    <w:p w14:paraId="63C6075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17.2补充、修改的内容应当按照招标文件要求签署、盖章，否则，按无效处理。</w:t>
      </w:r>
    </w:p>
    <w:p w14:paraId="64E0805F">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17.3在投标文件提交截止时间之后，投标人不得对其已上传的投标文件（含补充、修改）进行撤回。</w:t>
      </w:r>
    </w:p>
    <w:p w14:paraId="3DD94AD8">
      <w:pPr>
        <w:keepNext/>
        <w:topLinePunct/>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18.投标文件的有效期</w:t>
      </w:r>
    </w:p>
    <w:p w14:paraId="100DD129">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18.1本项目投标文件的有效期详见投标人须知前附表第8项。</w:t>
      </w:r>
      <w:r>
        <w:rPr>
          <w:rFonts w:hint="eastAsia" w:ascii="宋体" w:hAnsi="宋体" w:eastAsia="宋体" w:cs="宋体"/>
          <w:color w:val="auto"/>
          <w:kern w:val="0"/>
          <w:sz w:val="24"/>
          <w:highlight w:val="none"/>
        </w:rPr>
        <w:t>有效期短于该规定期限的投标无效。</w:t>
      </w:r>
    </w:p>
    <w:p w14:paraId="2B5D75F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18.2如果出现特殊情况，采购人可要求投标人将投标文件有效期延长一段时间，这种要求和投标人的答复以书面形式进行。</w:t>
      </w:r>
    </w:p>
    <w:p w14:paraId="0722F3FF">
      <w:pPr>
        <w:keepNext/>
        <w:topLinePunct/>
        <w:adjustRightInd w:val="0"/>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19.投标文件上传截止时间、加密、解密及其他</w:t>
      </w:r>
    </w:p>
    <w:p w14:paraId="6F2E958F">
      <w:pPr>
        <w:keepNext/>
        <w:topLinePunct/>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19.1投标文件上传截止时间</w:t>
      </w:r>
    </w:p>
    <w:p w14:paraId="207EABB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投标人应当在招标文件规定的投标文件提交截止时间前（详见投标人须知前附表第4项）使用</w:t>
      </w:r>
      <w:r>
        <w:rPr>
          <w:rFonts w:hint="eastAsia" w:ascii="宋体" w:hAnsi="宋体" w:eastAsia="宋体" w:cs="宋体"/>
          <w:color w:val="auto"/>
          <w:sz w:val="24"/>
          <w:highlight w:val="none"/>
        </w:rPr>
        <w:t>CA数字证书</w:t>
      </w:r>
      <w:r>
        <w:rPr>
          <w:rFonts w:hint="eastAsia" w:ascii="宋体" w:hAnsi="宋体" w:eastAsia="宋体" w:cs="宋体"/>
          <w:color w:val="auto"/>
          <w:kern w:val="0"/>
          <w:sz w:val="24"/>
          <w:highlight w:val="none"/>
        </w:rPr>
        <w:t>（单位、法人或个人）将投标文件及补充、修改文件（如有的话）在“山西政府采购平台”完成上传。</w:t>
      </w:r>
    </w:p>
    <w:p w14:paraId="3EB16882">
      <w:pPr>
        <w:keepNext/>
        <w:topLinePunct/>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19.2投标文件加密</w:t>
      </w:r>
    </w:p>
    <w:p w14:paraId="1E9FE80D">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投标人应将上传的投标文件使用上传投标文件所用</w:t>
      </w:r>
      <w:r>
        <w:rPr>
          <w:rFonts w:hint="eastAsia" w:ascii="宋体" w:hAnsi="宋体" w:eastAsia="宋体" w:cs="宋体"/>
          <w:color w:val="auto"/>
          <w:sz w:val="24"/>
          <w:highlight w:val="none"/>
        </w:rPr>
        <w:t>CA数字证书</w:t>
      </w:r>
      <w:r>
        <w:rPr>
          <w:rFonts w:hint="eastAsia" w:ascii="宋体" w:hAnsi="宋体" w:eastAsia="宋体" w:cs="宋体"/>
          <w:color w:val="auto"/>
          <w:kern w:val="0"/>
          <w:sz w:val="24"/>
          <w:highlight w:val="none"/>
        </w:rPr>
        <w:t>（单位、法人或个人）进行加密。</w:t>
      </w:r>
    </w:p>
    <w:p w14:paraId="414E4001">
      <w:pPr>
        <w:keepNext/>
        <w:topLinePunct/>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19.3投标文件解密及其他</w:t>
      </w:r>
    </w:p>
    <w:p w14:paraId="50B948C8">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19.3.1投标人应在接到采购代理机构发出的解密指令信息后，使用加密投标文件时所用CA数字证书（单位、法人或个人）在招标文件规定的投标文件解密时间内（详见投标人须知前附表第4项）在“山西政府采购平台”对投标文件进行远程</w:t>
      </w:r>
      <w:r>
        <w:rPr>
          <w:rFonts w:hint="eastAsia" w:ascii="宋体" w:hAnsi="宋体" w:eastAsia="宋体" w:cs="宋体"/>
          <w:bCs/>
          <w:color w:val="auto"/>
          <w:kern w:val="0"/>
          <w:sz w:val="24"/>
          <w:highlight w:val="none"/>
        </w:rPr>
        <w:t>解密。</w:t>
      </w:r>
    </w:p>
    <w:p w14:paraId="1F95CA39">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19.3.2任何单位和个人不得在投标文件解密开始时间前解密投标文件。否则，后果由投标人自行承担责任。</w:t>
      </w:r>
    </w:p>
    <w:p w14:paraId="6448D701">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19.3.3由于投标人原因，未在规定时间内完成电子投标文件解密的，视为未提交投标文件，其投标无效。</w:t>
      </w:r>
    </w:p>
    <w:p w14:paraId="19DDDCE1">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19.3.4解密截止时间后，投标人将无法对投标文件进行解密（除特殊情况下，启用备份文件的除外），代理机构不得以任何理由延长解密时间。</w:t>
      </w:r>
    </w:p>
    <w:p w14:paraId="765F5874">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19.3.5</w:t>
      </w:r>
      <w:r>
        <w:rPr>
          <w:rFonts w:hint="eastAsia" w:ascii="宋体" w:hAnsi="宋体" w:eastAsia="宋体" w:cs="宋体"/>
          <w:color w:val="auto"/>
          <w:kern w:val="44"/>
          <w:sz w:val="24"/>
          <w:highlight w:val="none"/>
        </w:rPr>
        <w:t>解密过程中，采购人、采购代理机构相关工作人员有需要回避的情形的，应主动提出回避。</w:t>
      </w:r>
    </w:p>
    <w:p w14:paraId="2AED263C">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19.3.6解密结束后，投标人在“山西政府采购平台”系统中对其报价进行确认，采购代理机构打印报价结果，未进行确认的，视同认可其报价。</w:t>
      </w:r>
    </w:p>
    <w:p w14:paraId="24AAB3F7">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19.3.7在投标文件解密截止时间，</w:t>
      </w:r>
      <w:r>
        <w:rPr>
          <w:rFonts w:hint="eastAsia" w:ascii="宋体" w:hAnsi="宋体" w:eastAsia="宋体" w:cs="宋体"/>
          <w:bCs/>
          <w:color w:val="auto"/>
          <w:kern w:val="0"/>
          <w:sz w:val="24"/>
          <w:highlight w:val="none"/>
        </w:rPr>
        <w:t>完成投标文件解密的</w:t>
      </w:r>
      <w:r>
        <w:rPr>
          <w:rFonts w:hint="eastAsia" w:ascii="宋体" w:hAnsi="宋体" w:eastAsia="宋体" w:cs="宋体"/>
          <w:color w:val="auto"/>
          <w:kern w:val="0"/>
          <w:sz w:val="24"/>
          <w:highlight w:val="none"/>
        </w:rPr>
        <w:t>投标人不足法定家数时，不得进行下一步评审程序。</w:t>
      </w:r>
    </w:p>
    <w:p w14:paraId="402F1D6D">
      <w:pPr>
        <w:keepNext/>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19.3.8采购代理机构打印报价结果，随采购文件一并存档。</w:t>
      </w:r>
    </w:p>
    <w:p w14:paraId="06B53B19">
      <w:pPr>
        <w:keepNex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18" w:name="_Toc180347455"/>
      <w:r>
        <w:rPr>
          <w:rFonts w:hint="eastAsia" w:ascii="宋体" w:hAnsi="宋体" w:eastAsia="宋体" w:cs="宋体"/>
          <w:b/>
          <w:color w:val="auto"/>
          <w:kern w:val="0"/>
          <w:sz w:val="24"/>
          <w:highlight w:val="none"/>
        </w:rPr>
        <w:t>四、投标保证金</w:t>
      </w:r>
      <w:bookmarkEnd w:id="18"/>
    </w:p>
    <w:p w14:paraId="50AB843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bookmarkStart w:id="19" w:name="_Toc2122"/>
      <w:r>
        <w:rPr>
          <w:rFonts w:hint="eastAsia" w:ascii="宋体" w:hAnsi="宋体" w:eastAsia="宋体" w:cs="宋体"/>
          <w:color w:val="auto"/>
          <w:kern w:val="0"/>
          <w:sz w:val="24"/>
          <w:highlight w:val="none"/>
        </w:rPr>
        <w:t>20.1投标人应提交的投标保证金金额和提交方式详见前附表第5条（如有，如第5条未要求金额和提交方式的，则不需要提交投标保证金）。未按要求提交投标保证金的，投标无效。</w:t>
      </w:r>
    </w:p>
    <w:p w14:paraId="2EC914B3">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20.2投标人在投标文件解密时间内未完成投标文件解密的，采购代理机构应当自收到投标人书面申请之日起5个工作日内，退还已收取的投标保证金，但因投标人自身原因导致无法及时退还的除外。</w:t>
      </w:r>
    </w:p>
    <w:p w14:paraId="422D7EA5">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20.3采购代理机构应当自中标通知书发出之日起5个工作日内退还未中标投标人的投标保证金，自采购合同签订之日起5个工作日内退还中标人的投标保证金。但因投标人自身原因导致无法及时退还的除外。</w:t>
      </w:r>
    </w:p>
    <w:p w14:paraId="5897B4B0">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20.4有下列情形之一的，投标保证金不予退还：</w:t>
      </w:r>
    </w:p>
    <w:p w14:paraId="4E2C3C73">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20.4.1投标人在投标文件中提供虚假材料，谋取成交的；</w:t>
      </w:r>
    </w:p>
    <w:p w14:paraId="020B741A">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20.4.2除因不可抗力或招标文件认可的情形外，中标人不与采购人签订合同的；</w:t>
      </w:r>
    </w:p>
    <w:p w14:paraId="3866A244">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20.4.3投标人与采购人、其他投标人或者代理机构恶意串通的；</w:t>
      </w:r>
    </w:p>
    <w:p w14:paraId="15C1BA7E">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20.4.4投标有效期内撤回投标文件的；</w:t>
      </w:r>
    </w:p>
    <w:p w14:paraId="3358A619">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20.4.5在投标过程中，被发现有违反法律和纪律的行为的；</w:t>
      </w:r>
    </w:p>
    <w:p w14:paraId="0120F62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20.4.6在投标过程中无正当理由，扰乱开评标现场秩序的等情形。</w:t>
      </w:r>
    </w:p>
    <w:p w14:paraId="4901B857">
      <w:pPr>
        <w:keepNex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20" w:name="_Toc180347456"/>
      <w:r>
        <w:rPr>
          <w:rFonts w:hint="eastAsia" w:ascii="宋体" w:hAnsi="宋体" w:eastAsia="宋体" w:cs="宋体"/>
          <w:b/>
          <w:color w:val="auto"/>
          <w:kern w:val="0"/>
          <w:sz w:val="24"/>
          <w:highlight w:val="none"/>
        </w:rPr>
        <w:t>五、资格审查小组、评标委员会组成与职责</w:t>
      </w:r>
      <w:bookmarkEnd w:id="19"/>
      <w:bookmarkEnd w:id="20"/>
    </w:p>
    <w:p w14:paraId="16F5680E">
      <w:pPr>
        <w:keepNext/>
        <w:tabs>
          <w:tab w:val="left" w:pos="567"/>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21.资格审查小组和评标委员会组成</w:t>
      </w:r>
    </w:p>
    <w:p w14:paraId="7E9396DE">
      <w:pPr>
        <w:keepNext/>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21.1资格审查小组组成</w:t>
      </w:r>
    </w:p>
    <w:p w14:paraId="1AA5817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根据相关法律法规和本招标文件的规定，资格审查小组由采购人</w:t>
      </w:r>
      <w:r>
        <w:rPr>
          <w:rFonts w:hint="eastAsia" w:ascii="宋体" w:hAnsi="宋体" w:eastAsia="宋体" w:cs="宋体"/>
          <w:bCs/>
          <w:color w:val="auto"/>
          <w:kern w:val="0"/>
          <w:sz w:val="24"/>
          <w:highlight w:val="none"/>
        </w:rPr>
        <w:t>组成</w:t>
      </w:r>
      <w:r>
        <w:rPr>
          <w:rFonts w:hint="eastAsia" w:ascii="宋体" w:hAnsi="宋体" w:eastAsia="宋体" w:cs="宋体"/>
          <w:color w:val="auto"/>
          <w:kern w:val="0"/>
          <w:sz w:val="24"/>
          <w:highlight w:val="none"/>
        </w:rPr>
        <w:t>。</w:t>
      </w:r>
    </w:p>
    <w:p w14:paraId="2E1B1964">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21.2评标委员会组成</w:t>
      </w:r>
    </w:p>
    <w:p w14:paraId="41BF7F15">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21.2.1采购代理机构根据相关法律法规和本招标文件的规定，结合本招标项目的特点组建评标委员会，评标委员会由采购人代表和评审专家共五人以上单数组成，其中评审专家不得少于成员总数的三分之二。</w:t>
      </w:r>
    </w:p>
    <w:p w14:paraId="7DC55EEE">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21.2.2</w:t>
      </w:r>
      <w:r>
        <w:rPr>
          <w:rFonts w:hint="eastAsia" w:ascii="宋体" w:hAnsi="宋体" w:eastAsia="宋体" w:cs="宋体"/>
          <w:color w:val="auto"/>
          <w:sz w:val="24"/>
          <w:highlight w:val="none"/>
        </w:rPr>
        <w:t>采购人代表不得以评审专家身份参加本部门或本单位采购项目的评审，</w:t>
      </w:r>
      <w:r>
        <w:rPr>
          <w:rFonts w:hint="eastAsia" w:ascii="宋体" w:hAnsi="宋体" w:eastAsia="宋体" w:cs="宋体"/>
          <w:color w:val="auto"/>
          <w:kern w:val="0"/>
          <w:sz w:val="24"/>
          <w:highlight w:val="none"/>
        </w:rPr>
        <w:t>本条第21.5的情形</w:t>
      </w:r>
      <w:r>
        <w:rPr>
          <w:rFonts w:hint="eastAsia" w:ascii="宋体" w:hAnsi="宋体" w:eastAsia="宋体" w:cs="宋体"/>
          <w:color w:val="auto"/>
          <w:sz w:val="24"/>
          <w:highlight w:val="none"/>
        </w:rPr>
        <w:t>除外。采购代理机构人员不得参加本机构代理的采购项目的评审。</w:t>
      </w:r>
    </w:p>
    <w:p w14:paraId="7E536A8D">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21.2.3评标委员会成员名单在评审结果公告前应当保密。</w:t>
      </w:r>
    </w:p>
    <w:p w14:paraId="25C9CFF0">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21.2.4评审专家由采购代理机构从山西政府采购评审专家库中，通过随机抽取方式产生。</w:t>
      </w:r>
    </w:p>
    <w:p w14:paraId="06148C98">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21.2.5对技术复杂、专业性强的采购项目，通过随机方式难以确定合适评审专家的，</w:t>
      </w:r>
      <w:r>
        <w:rPr>
          <w:rFonts w:hint="eastAsia" w:ascii="宋体" w:hAnsi="宋体" w:eastAsia="宋体" w:cs="宋体"/>
          <w:bCs/>
          <w:color w:val="auto"/>
          <w:kern w:val="0"/>
          <w:sz w:val="24"/>
          <w:highlight w:val="none"/>
        </w:rPr>
        <w:t>经主管预算单位同意，采购人可以自行选定相应专业领域的评审专家。</w:t>
      </w:r>
    </w:p>
    <w:p w14:paraId="5075FFB8">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21.2.6评审中因评审专家缺席、回避或者健康等特殊原因，导致评标委员会成员组成不符合相关规定的，代理机构应当补足后继续评审。被更换的评标委员会成员所做出的评审意见无效。</w:t>
      </w:r>
    </w:p>
    <w:p w14:paraId="2A1AE8E1">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21.2.7无法及时补足评标委员会成员时，代理机构应当停止评审活动，封存所有投标文件及评审资料，重新组建评标委员会进行评审。原评标委员会所做出的评审意见无效。</w:t>
      </w:r>
    </w:p>
    <w:p w14:paraId="32254F9E">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21.2.8采购代理机构应当将变更、重新组建评标委员会的情况予以记录，并随招标文件一并存档。</w:t>
      </w:r>
    </w:p>
    <w:p w14:paraId="1B21343C">
      <w:pPr>
        <w:keepNext/>
        <w:tabs>
          <w:tab w:val="left" w:pos="567"/>
        </w:tabs>
        <w:topLinePunct/>
        <w:adjustRightInd w:val="0"/>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22.</w:t>
      </w:r>
      <w:r>
        <w:rPr>
          <w:rFonts w:hint="eastAsia" w:ascii="宋体" w:hAnsi="宋体" w:eastAsia="宋体" w:cs="宋体"/>
          <w:b/>
          <w:color w:val="auto"/>
          <w:kern w:val="0"/>
          <w:sz w:val="24"/>
          <w:highlight w:val="none"/>
        </w:rPr>
        <w:t>资格审查小组、评标委员会职责</w:t>
      </w:r>
    </w:p>
    <w:p w14:paraId="4A262450">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22.1资格审查小组职责</w:t>
      </w:r>
    </w:p>
    <w:p w14:paraId="78B41E37">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资格审查小组按照本项目招标文件第四章“资格审查内容及标准”对投标人的资格证明文件的有效性、符合性进行审查。</w:t>
      </w:r>
    </w:p>
    <w:p w14:paraId="09EBAF56">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22.2评标委员会职责</w:t>
      </w:r>
    </w:p>
    <w:p w14:paraId="3D248F56">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22.2.1审查、评价投标文件是否符合招标文件的商务、技术等实质性要求；</w:t>
      </w:r>
    </w:p>
    <w:p w14:paraId="69705E30">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22.2.2要求投标人对投标文件有关事项作出澄清或者说明；</w:t>
      </w:r>
    </w:p>
    <w:p w14:paraId="2A4AD753">
      <w:pPr>
        <w:keepNext/>
        <w:tabs>
          <w:tab w:val="left" w:pos="567"/>
        </w:tabs>
        <w:topLinePunct/>
        <w:adjustRightInd w:val="0"/>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eastAsia="宋体" w:cs="宋体"/>
          <w:bCs/>
          <w:color w:val="auto"/>
          <w:kern w:val="0"/>
          <w:sz w:val="24"/>
          <w:highlight w:val="none"/>
        </w:rPr>
        <w:t>22.2.3</w:t>
      </w:r>
      <w:r>
        <w:rPr>
          <w:rFonts w:hint="eastAsia" w:ascii="宋体" w:hAnsi="宋体" w:cs="宋体"/>
          <w:bCs/>
          <w:color w:val="auto"/>
          <w:kern w:val="0"/>
          <w:sz w:val="24"/>
          <w:highlight w:val="none"/>
          <w:lang w:val="en-US" w:eastAsia="zh-CN"/>
        </w:rPr>
        <w:t>严格按照招标文件中确定的评标办法与评审标准</w:t>
      </w:r>
      <w:r>
        <w:rPr>
          <w:rFonts w:hint="eastAsia" w:ascii="宋体" w:hAnsi="宋体" w:cs="宋体"/>
          <w:bCs/>
          <w:color w:val="auto"/>
          <w:kern w:val="0"/>
          <w:sz w:val="24"/>
          <w:highlight w:val="none"/>
        </w:rPr>
        <w:t>对</w:t>
      </w:r>
      <w:r>
        <w:rPr>
          <w:rFonts w:hint="eastAsia" w:ascii="宋体" w:hAnsi="宋体" w:cs="宋体"/>
          <w:bCs/>
          <w:color w:val="auto"/>
          <w:kern w:val="0"/>
          <w:sz w:val="24"/>
          <w:highlight w:val="none"/>
          <w:lang w:val="en-US" w:eastAsia="zh-CN"/>
        </w:rPr>
        <w:t>各投标人的</w:t>
      </w:r>
      <w:r>
        <w:rPr>
          <w:rFonts w:hint="eastAsia" w:ascii="宋体" w:hAnsi="宋体" w:cs="宋体"/>
          <w:bCs/>
          <w:color w:val="auto"/>
          <w:kern w:val="0"/>
          <w:sz w:val="24"/>
          <w:highlight w:val="none"/>
        </w:rPr>
        <w:t>投标文件进行比较和评价；</w:t>
      </w:r>
    </w:p>
    <w:p w14:paraId="0C1E3719">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22.2.4</w:t>
      </w:r>
      <w:r>
        <w:rPr>
          <w:rFonts w:hint="eastAsia" w:ascii="宋体" w:hAnsi="宋体" w:cs="宋体"/>
          <w:bCs/>
          <w:color w:val="auto"/>
          <w:kern w:val="0"/>
          <w:sz w:val="24"/>
          <w:highlight w:val="none"/>
          <w:lang w:val="en-US" w:eastAsia="zh-CN"/>
        </w:rPr>
        <w:t>严格按照本招标文件第31条规定推荐中标候选人名单、第32条规定</w:t>
      </w:r>
      <w:r>
        <w:rPr>
          <w:rFonts w:hint="eastAsia" w:ascii="宋体" w:hAnsi="宋体" w:cs="宋体"/>
          <w:bCs/>
          <w:color w:val="auto"/>
          <w:kern w:val="0"/>
          <w:sz w:val="24"/>
          <w:highlight w:val="none"/>
        </w:rPr>
        <w:t>确定中标人</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第33条要求编写评标报告</w:t>
      </w:r>
      <w:r>
        <w:rPr>
          <w:rFonts w:hint="eastAsia" w:ascii="宋体" w:hAnsi="宋体" w:eastAsia="宋体" w:cs="宋体"/>
          <w:bCs/>
          <w:color w:val="auto"/>
          <w:kern w:val="0"/>
          <w:sz w:val="24"/>
          <w:highlight w:val="none"/>
        </w:rPr>
        <w:t>；</w:t>
      </w:r>
    </w:p>
    <w:p w14:paraId="4A03EC29">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22.2.5向采购人、采购代理机构或者有关部门报告评标中发现的违法行为。</w:t>
      </w:r>
    </w:p>
    <w:p w14:paraId="415900B3">
      <w:pPr>
        <w:keepNex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21" w:name="_Toc180347457"/>
      <w:r>
        <w:rPr>
          <w:rFonts w:hint="eastAsia" w:ascii="宋体" w:hAnsi="宋体" w:eastAsia="宋体" w:cs="宋体"/>
          <w:b/>
          <w:color w:val="auto"/>
          <w:kern w:val="0"/>
          <w:sz w:val="24"/>
          <w:highlight w:val="none"/>
        </w:rPr>
        <w:t>六、代理机构的职责</w:t>
      </w:r>
      <w:bookmarkEnd w:id="21"/>
    </w:p>
    <w:p w14:paraId="2D2144A4">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23.采购代理机构负责组织评标工作，并履行下列职责：</w:t>
      </w:r>
    </w:p>
    <w:p w14:paraId="72578FD8">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23.1核对评审专家身份和采购人代表授权函，对评审专家在政府采购活动中的职责履行情况予以记录，并及时将有关违法违规行为向财政部门报告；</w:t>
      </w:r>
    </w:p>
    <w:p w14:paraId="37A9816D">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23.2宣布评标纪律；</w:t>
      </w:r>
    </w:p>
    <w:p w14:paraId="3FDFC95B">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23.3公布投标人名单，告知评审专家应当回避的情形；</w:t>
      </w:r>
    </w:p>
    <w:p w14:paraId="3CB7863B">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23.4组织评标委员会推选评标组长，采购人代表不得担任组长；</w:t>
      </w:r>
    </w:p>
    <w:p w14:paraId="1D74FE03">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23.5在评标期间采取必要的通讯管理措施，保证评标活动不受外界干扰；</w:t>
      </w:r>
    </w:p>
    <w:p w14:paraId="4C73A954">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23.6根据评标委员会的要求介绍政府采购相关政策法规、招标文件；</w:t>
      </w:r>
    </w:p>
    <w:p w14:paraId="5C1D9007">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23.7维护评标秩序，监督评标委员会依照招标文件规定的评标程序、方法和标准进行独立评审，及时制止和纠正采购人代表、评审专家的倾向性言论或者违法违规行为；</w:t>
      </w:r>
    </w:p>
    <w:p w14:paraId="20DEE115">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23.8核对评标结果，要求评标委员会复核或者书面说明理由，评标委员会拒绝的，应予记录并向本级财政部门报告；</w:t>
      </w:r>
    </w:p>
    <w:p w14:paraId="3702CDD8">
      <w:pPr>
        <w:keepNext/>
        <w:tabs>
          <w:tab w:val="left" w:pos="567"/>
        </w:tabs>
        <w:topLinePunct/>
        <w:adjustRightInd w:val="0"/>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23.9处理与评标有关的其他事项。</w:t>
      </w:r>
    </w:p>
    <w:p w14:paraId="4D365F14">
      <w:pPr>
        <w:keepNex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22" w:name="_Toc180347458"/>
      <w:bookmarkStart w:id="23" w:name="_Toc5453"/>
      <w:bookmarkStart w:id="24" w:name="_Toc30458"/>
      <w:r>
        <w:rPr>
          <w:rFonts w:hint="eastAsia" w:ascii="宋体" w:hAnsi="宋体" w:eastAsia="宋体" w:cs="宋体"/>
          <w:b/>
          <w:color w:val="auto"/>
          <w:kern w:val="0"/>
          <w:sz w:val="24"/>
          <w:highlight w:val="none"/>
        </w:rPr>
        <w:t>七、评审和评定程序与要求</w:t>
      </w:r>
      <w:bookmarkEnd w:id="22"/>
    </w:p>
    <w:bookmarkEnd w:id="23"/>
    <w:bookmarkEnd w:id="24"/>
    <w:p w14:paraId="6F84B45E">
      <w:pPr>
        <w:keepNext/>
        <w:tabs>
          <w:tab w:val="left" w:pos="0"/>
          <w:tab w:val="left" w:pos="27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本项目为多包，资格审查小组和评标委员会应按包顺序按招标文件规定的评审、评定程序与要求进行。评审、评定过程中应当按照少数服从多数的原则做出结论。持不同意见的资格审查小组和评标委员会小组成员应当在资格证明文件评审报告和评标报告上签署不同意见及理由，否则视为同意。</w:t>
      </w:r>
    </w:p>
    <w:p w14:paraId="1AFA4153">
      <w:pPr>
        <w:keepNext/>
        <w:tabs>
          <w:tab w:val="left" w:pos="0"/>
          <w:tab w:val="left" w:pos="276"/>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24.资格证明文件的评审</w:t>
      </w:r>
    </w:p>
    <w:p w14:paraId="3E1E4537">
      <w:pPr>
        <w:keepNext/>
        <w:tabs>
          <w:tab w:val="left" w:pos="0"/>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24.1解密结束后，资格审查小组依法按照招标文件中规定的</w:t>
      </w:r>
      <w:r>
        <w:rPr>
          <w:rFonts w:hint="eastAsia" w:ascii="宋体" w:hAnsi="宋体" w:eastAsia="宋体" w:cs="宋体"/>
          <w:color w:val="auto"/>
          <w:kern w:val="0"/>
          <w:sz w:val="24"/>
          <w:highlight w:val="none"/>
        </w:rPr>
        <w:t>“评审方法和评审标准”</w:t>
      </w:r>
      <w:r>
        <w:rPr>
          <w:rFonts w:hint="eastAsia" w:ascii="宋体" w:hAnsi="宋体" w:eastAsia="宋体" w:cs="宋体"/>
          <w:bCs/>
          <w:color w:val="auto"/>
          <w:kern w:val="0"/>
          <w:sz w:val="24"/>
          <w:highlight w:val="none"/>
        </w:rPr>
        <w:t>内容对投标人的资格证明文件的有效性、符合性进行审查，以确定各投标人是否是符合招标文件要求的合格投标人。合格投标人不足3家的，不得进入商务技术评审。</w:t>
      </w:r>
    </w:p>
    <w:p w14:paraId="27207631">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24.2资格审查人员对投标文件的判定，只依据投标人的资格证明文件内容本身（需要进行网上查询核实的证明材料除外）。</w:t>
      </w:r>
    </w:p>
    <w:p w14:paraId="32C339E1">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24.3对投标人须知前附表第5项中有资格证明文件不合格的或未对其要求做出明确响应的，</w:t>
      </w:r>
      <w:r>
        <w:rPr>
          <w:rFonts w:hint="eastAsia" w:ascii="宋体" w:hAnsi="宋体" w:eastAsia="宋体" w:cs="宋体"/>
          <w:b/>
          <w:color w:val="auto"/>
          <w:kern w:val="0"/>
          <w:sz w:val="24"/>
          <w:highlight w:val="none"/>
        </w:rPr>
        <w:t>将作无效投标处理。</w:t>
      </w:r>
    </w:p>
    <w:p w14:paraId="005D497E">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24.4为保证投标的公开、公正、公平，投标人资格证明文件若有缺失或不符，开标后不允许补正或修正，且投标无效。</w:t>
      </w:r>
    </w:p>
    <w:p w14:paraId="6E25DD7D">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24.5对模糊不清的或存在疑问的资格证明文件，在不影响投标有效性的前提下，须经投标人进行澄清或说明。</w:t>
      </w:r>
    </w:p>
    <w:p w14:paraId="09947D41">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24.6评审结束，审查结果意见不一致时，遵循少数服从多数的原则，确定各投标人是否具备投标资格。未实质上响应招标文件要求的投标文件按投标无效处理，资格审查小组应当告知有关投标人。</w:t>
      </w:r>
    </w:p>
    <w:p w14:paraId="18935732">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24.7资格审查小组对投标人的资格证明文件进行审查、编写资格证明文件评审报告，并签字确认，与采购文件一并存档。</w:t>
      </w:r>
    </w:p>
    <w:p w14:paraId="046A13EA">
      <w:pPr>
        <w:keepNext/>
        <w:tabs>
          <w:tab w:val="left" w:pos="567"/>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25.招标文件的评审</w:t>
      </w:r>
    </w:p>
    <w:p w14:paraId="7DA623CC">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25.1在评审程序开始前，评标委员会成员首先对招标文件进行合法性、合规性、合理性审查。</w:t>
      </w:r>
    </w:p>
    <w:p w14:paraId="60F52E20">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25.2经审查，如招标文件中存在下列情形导致评审工作无法进行，评标委员会应当向采购代理机构做出书面说明，停止本项目评审活动。采购代理机构应当修改招标文件后，重新开展采购活动。</w:t>
      </w:r>
    </w:p>
    <w:p w14:paraId="569C47E6">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A.存在违反或违背《中华人民共和国政府采购法》、《中华人民共和国政府采购法实施条例》、《政府采购货物和服务招标投标管理办法》等法律法规政策的条款；</w:t>
      </w:r>
    </w:p>
    <w:p w14:paraId="1BA5F494">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B.存在不符合国家有关强制性规定或政府采购政策性要求的内容；</w:t>
      </w:r>
    </w:p>
    <w:p w14:paraId="1F5EA1DE">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C.商务技术要求存在歧视性条款；</w:t>
      </w:r>
    </w:p>
    <w:p w14:paraId="372EB824">
      <w:pPr>
        <w:keepNext/>
        <w:tabs>
          <w:tab w:val="left" w:pos="567"/>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D.评审因素存在倾向性、歧义；</w:t>
      </w:r>
    </w:p>
    <w:p w14:paraId="6862417D">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E.招标文件存在重大缺陷等其他影响公平、公正的内容。</w:t>
      </w:r>
    </w:p>
    <w:p w14:paraId="255D51A2">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25.3</w:t>
      </w:r>
      <w:r>
        <w:rPr>
          <w:rFonts w:hint="eastAsia" w:ascii="宋体" w:hAnsi="宋体" w:eastAsia="宋体" w:cs="宋体"/>
          <w:color w:val="auto"/>
          <w:sz w:val="24"/>
          <w:highlight w:val="none"/>
        </w:rPr>
        <w:t>对招标文件审查无异议的，评标委员会成员应当按照客观、公正、审慎的原则，根据</w:t>
      </w:r>
      <w:r>
        <w:rPr>
          <w:rFonts w:hint="eastAsia" w:ascii="宋体" w:hAnsi="宋体" w:eastAsia="宋体" w:cs="宋体"/>
          <w:color w:val="auto"/>
          <w:kern w:val="0"/>
          <w:sz w:val="24"/>
          <w:highlight w:val="none"/>
        </w:rPr>
        <w:t>招标文件中规定的“评审方法和评审标准”，</w:t>
      </w:r>
      <w:r>
        <w:rPr>
          <w:rFonts w:hint="eastAsia" w:ascii="宋体" w:hAnsi="宋体" w:eastAsia="宋体" w:cs="宋体"/>
          <w:color w:val="auto"/>
          <w:sz w:val="24"/>
          <w:highlight w:val="none"/>
        </w:rPr>
        <w:t>对所有参加投标的投标人提供的投标文件</w:t>
      </w:r>
      <w:r>
        <w:rPr>
          <w:rFonts w:hint="eastAsia" w:ascii="宋体" w:hAnsi="宋体" w:eastAsia="宋体" w:cs="宋体"/>
          <w:b w:val="0"/>
          <w:bCs w:val="0"/>
          <w:color w:val="auto"/>
          <w:kern w:val="0"/>
          <w:sz w:val="24"/>
          <w:highlight w:val="none"/>
        </w:rPr>
        <w:t>独立</w:t>
      </w:r>
      <w:r>
        <w:rPr>
          <w:rFonts w:hint="eastAsia" w:ascii="宋体" w:hAnsi="宋体" w:eastAsia="宋体" w:cs="宋体"/>
          <w:color w:val="auto"/>
          <w:sz w:val="24"/>
          <w:highlight w:val="none"/>
        </w:rPr>
        <w:t>进行符合性审查。</w:t>
      </w:r>
    </w:p>
    <w:p w14:paraId="54039794">
      <w:pPr>
        <w:keepNext/>
        <w:tabs>
          <w:tab w:val="left" w:pos="567"/>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26.商务、技术的符合性审查</w:t>
      </w:r>
    </w:p>
    <w:p w14:paraId="313EAF59">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26.1评标委员会对投标人商务技术文件的符合性审查，除项目要求需对投标文件中无法用文字表述的其他特殊要求（如需对样品或演示内容等）作为实质性审查内容外，只依据投标人在“山西政府采购平台”系统中提交的电子投标文件。</w:t>
      </w:r>
    </w:p>
    <w:p w14:paraId="789F0695">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26.2评标委员会应当各自对3家及以上资格性审查合格投标人的商务技术文件，依据招标文件中规定的“评审方法和评审标准”进行符合性审查，审查投标人商务、技术文件（含项目需要对样品或演示内容进行符合性审查的情形）是否对招标文件的商务、技术文件做出实质性响应，是否对政策性因素做出了实质性响应。</w:t>
      </w:r>
    </w:p>
    <w:p w14:paraId="2989334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2FF2D40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26.4评标委员会要求投标人澄清、说明或者更正的内容应当在“山西政府采购平台”提出。投标人的澄清、说明或者更正应当加盖法定代表人或其授权代表电子签章或者投标人CA数字证书电子印章，并在“山西政府采购平台”进行回复。评标委员会成员根据回复内容，判断其是否实质上响应招标文件要求。</w:t>
      </w:r>
    </w:p>
    <w:p w14:paraId="537A4036">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26.5合格的商务技术文件：是指经评标委员会成员审查（含投标人对评标委员会要求其澄清、说明或者更正作出回复的内容）认定，对招标文件的商务技术条款、条件和要求作出了完整性、符合性响应，经评标委员会认定没有重大偏离或保留的商务技术文件。</w:t>
      </w:r>
    </w:p>
    <w:p w14:paraId="5E83937D">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26.6重大偏离系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1BD88816">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A．未对“投标人须知前附表”第6项中带★号的商务技术要求及第五部分商务、技术要求中带★号商务技术指标作出实质性响应的；</w:t>
      </w:r>
    </w:p>
    <w:p w14:paraId="73FF5B54">
      <w:pPr>
        <w:keepNext/>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B．未按招标文件的规定签署、盖章的；</w:t>
      </w:r>
    </w:p>
    <w:p w14:paraId="3E5168C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C．投标文件有效期不足的；</w:t>
      </w:r>
    </w:p>
    <w:p w14:paraId="584B73F1">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D．未按照招标文件规定报价的；报价超过招标文件中规定的最高限价的；</w:t>
      </w:r>
    </w:p>
    <w:p w14:paraId="468DF1BD">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E．未对执行标准、合同履约期限、履约地点、</w:t>
      </w:r>
      <w:r>
        <w:rPr>
          <w:rFonts w:hint="eastAsia" w:ascii="宋体" w:hAnsi="宋体" w:eastAsia="宋体" w:cs="宋体"/>
          <w:color w:val="auto"/>
          <w:sz w:val="24"/>
          <w:highlight w:val="none"/>
        </w:rPr>
        <w:t>付款方式</w:t>
      </w:r>
      <w:r>
        <w:rPr>
          <w:rFonts w:hint="eastAsia" w:ascii="宋体" w:hAnsi="宋体" w:eastAsia="宋体" w:cs="宋体"/>
          <w:color w:val="auto"/>
          <w:kern w:val="0"/>
          <w:sz w:val="24"/>
          <w:highlight w:val="none"/>
        </w:rPr>
        <w:t>、履约保证金及验收标准等作出实质性响应的或技术指标超出采购人可接受的负偏差范围的；</w:t>
      </w:r>
    </w:p>
    <w:p w14:paraId="1ED2A687">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F．不符合招标文件中有关分包、转包规定的；</w:t>
      </w:r>
    </w:p>
    <w:p w14:paraId="473A59EE">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G．投标文件附有采购人不能接受的条件的；</w:t>
      </w:r>
    </w:p>
    <w:p w14:paraId="2C94E7F5">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H．未在规定时间内对评标委员会要求投标人澄清、说明或者更正的内容作出回复或回复内容未对要求澄清、说明或者更正的内容作出实质性响应的；</w:t>
      </w:r>
    </w:p>
    <w:p w14:paraId="70A354DA">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I.未对政策性因素中的强制性要求作出响应或未提供相关证明材料的；</w:t>
      </w:r>
    </w:p>
    <w:p w14:paraId="3D74BA32">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J.不符合招标文件中规定的其他实质性要求的。</w:t>
      </w:r>
    </w:p>
    <w:p w14:paraId="3F7A4E59">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存在以上情形的商务、技术文件，视为投标无效。投标人不得再对投标文件进行任何澄清、说明或者更正，从而使其成为合格的商务技术文件。</w:t>
      </w:r>
    </w:p>
    <w:p w14:paraId="67D7E348">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26.7重大偏离不允许在开标后修正。</w:t>
      </w:r>
    </w:p>
    <w:p w14:paraId="752BCE46">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26.8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42B83DA4">
      <w:pPr>
        <w:keepNext/>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27.对投标人的商务技术文件进行比较和评价</w:t>
      </w:r>
    </w:p>
    <w:p w14:paraId="459BB6E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27.1本项目采用综合评分法，</w:t>
      </w:r>
      <w:r>
        <w:rPr>
          <w:rFonts w:hint="eastAsia" w:ascii="宋体" w:hAnsi="宋体" w:eastAsia="宋体" w:cs="宋体"/>
          <w:color w:val="auto"/>
          <w:sz w:val="24"/>
          <w:highlight w:val="none"/>
        </w:rPr>
        <w:t>对各包投标人商务技术文件符合性审查后，合格投标人数量符合法定数量的，</w:t>
      </w:r>
      <w:r>
        <w:rPr>
          <w:rFonts w:hint="eastAsia" w:ascii="宋体" w:hAnsi="宋体" w:eastAsia="宋体" w:cs="宋体"/>
          <w:color w:val="auto"/>
          <w:kern w:val="0"/>
          <w:sz w:val="24"/>
          <w:highlight w:val="none"/>
        </w:rPr>
        <w:t>评标委员会应当按照招标文件中规定的“评审方法和评审标准”，对合格投标人的投标文件进行商务和技术评估，综合比较与评价。</w:t>
      </w:r>
    </w:p>
    <w:p w14:paraId="71FA765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06F9176E">
      <w:pPr>
        <w:keepNext/>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28.报价评审</w:t>
      </w:r>
    </w:p>
    <w:p w14:paraId="0F8CBF1F">
      <w:pPr>
        <w:keepNex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28.1根据本文件第四部分“评审方法和评审标准”对投标报价进行符合性审查。</w:t>
      </w:r>
    </w:p>
    <w:p w14:paraId="63C328A2">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28.2投标报价出现前后不一致的，按照下列规定修正：</w:t>
      </w:r>
    </w:p>
    <w:p w14:paraId="0B9DFA42">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（一）投标文件中开标一览表（报价表）内容与投标文件中相应内容不一致的，以开标一览表（报价表）为准；</w:t>
      </w:r>
    </w:p>
    <w:p w14:paraId="3CB7AB37">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（二）大写金额和小写金额不一致的，以大写金额为准；</w:t>
      </w:r>
    </w:p>
    <w:p w14:paraId="0C6EDA09">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（三）单价金额小数点或者百分比有明显错位的，以开标一览表的总价为准，并修改单价；</w:t>
      </w:r>
    </w:p>
    <w:p w14:paraId="551E9E52">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（四）总价金额与按单价汇总金额不一致的，以单价金额计算结果为准。</w:t>
      </w:r>
    </w:p>
    <w:p w14:paraId="0F0828A2">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同时出现两种以上不一致的，按照前款规定的顺序修正。评标委员会并通过“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6C87A4F9">
      <w:pPr>
        <w:keepNex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28.3经审查，合格投标人数量符合法定投标人家数时，对符合政策性要求优惠的各投标人的投标报价，按照政策性因素价格扣除后，形成各投标人最终评标价格。</w:t>
      </w:r>
    </w:p>
    <w:p w14:paraId="64ED431B">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28.4采用最低评标价法评标时，除了算术修正和按照落实政府采购政策需进行的价格扣除外，不能对投标人的投标价格进行任何调整。</w:t>
      </w:r>
    </w:p>
    <w:p w14:paraId="0C1AFE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28.5报价存在下列情况之一者将视为投标无效：</w:t>
      </w:r>
    </w:p>
    <w:p w14:paraId="59DEA86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（1）开标一览表中未按照招标文件要求签章的；</w:t>
      </w:r>
    </w:p>
    <w:p w14:paraId="1CB938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（2）未按招标文件进行签署的；</w:t>
      </w:r>
    </w:p>
    <w:p w14:paraId="57E5A99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（3）未按招标文件要求进行填报或报价表填报不完整，存在可空项、漏项、缺项的；</w:t>
      </w:r>
    </w:p>
    <w:p w14:paraId="7F316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eastAsia="宋体" w:cs="宋体"/>
          <w:b/>
          <w:bCs/>
          <w:color w:val="auto"/>
          <w:kern w:val="0"/>
          <w:sz w:val="24"/>
          <w:highlight w:val="none"/>
        </w:rPr>
        <w:t>（4）</w:t>
      </w:r>
      <w:r>
        <w:rPr>
          <w:rFonts w:hint="eastAsia" w:ascii="宋体" w:hAnsi="宋体" w:cs="宋体"/>
          <w:b/>
          <w:bCs/>
          <w:color w:val="auto"/>
          <w:kern w:val="0"/>
          <w:sz w:val="24"/>
          <w:highlight w:val="none"/>
        </w:rPr>
        <w:t>评标委员会一致认为投标人的报价明显低于其他通过符合性审查投标人的报价，有可能影响产品质量或者不能诚信履约的，应当要求其在合理的时间内通过“山西政府采购平台”提供书面说明，必要时提交相关证明材料；</w:t>
      </w:r>
      <w:r>
        <w:rPr>
          <w:rFonts w:hint="eastAsia" w:ascii="宋体" w:hAnsi="宋体" w:cs="宋体"/>
          <w:b/>
          <w:bCs/>
          <w:color w:val="auto"/>
          <w:kern w:val="0"/>
          <w:sz w:val="24"/>
          <w:highlight w:val="none"/>
          <w:lang w:val="en-US" w:eastAsia="zh-CN"/>
        </w:rPr>
        <w:t>投标人</w:t>
      </w:r>
      <w:r>
        <w:rPr>
          <w:rFonts w:hint="eastAsia" w:ascii="宋体" w:hAnsi="宋体" w:cs="宋体"/>
          <w:b/>
          <w:bCs/>
          <w:color w:val="auto"/>
          <w:kern w:val="0"/>
          <w:sz w:val="24"/>
          <w:highlight w:val="none"/>
        </w:rPr>
        <w:t>提交的书面说明，应当加盖</w:t>
      </w:r>
      <w:r>
        <w:rPr>
          <w:rFonts w:hint="eastAsia" w:ascii="宋体" w:hAnsi="宋体" w:cs="宋体"/>
          <w:b/>
          <w:bCs/>
          <w:color w:val="auto"/>
          <w:kern w:val="0"/>
          <w:sz w:val="24"/>
          <w:highlight w:val="none"/>
          <w:lang w:val="en-US" w:eastAsia="zh-CN"/>
        </w:rPr>
        <w:t>投标人</w:t>
      </w:r>
      <w:r>
        <w:rPr>
          <w:rFonts w:hint="eastAsia" w:ascii="宋体" w:hAnsi="宋体" w:cs="宋体"/>
          <w:b/>
          <w:bCs/>
          <w:color w:val="auto"/>
          <w:kern w:val="0"/>
          <w:sz w:val="24"/>
          <w:highlight w:val="none"/>
        </w:rPr>
        <w:t>公章，在</w:t>
      </w:r>
      <w:r>
        <w:rPr>
          <w:rFonts w:hint="eastAsia" w:ascii="宋体" w:hAnsi="宋体" w:cs="宋体"/>
          <w:b/>
          <w:bCs/>
          <w:color w:val="auto"/>
          <w:kern w:val="0"/>
          <w:sz w:val="24"/>
          <w:highlight w:val="none"/>
          <w:lang w:val="en-US" w:eastAsia="zh-CN"/>
        </w:rPr>
        <w:t>评标</w:t>
      </w:r>
      <w:r>
        <w:rPr>
          <w:rFonts w:hint="eastAsia" w:ascii="宋体" w:hAnsi="宋体" w:cs="宋体"/>
          <w:b/>
          <w:bCs/>
          <w:color w:val="auto"/>
          <w:kern w:val="0"/>
          <w:sz w:val="24"/>
          <w:highlight w:val="none"/>
        </w:rPr>
        <w:t>委员会要求的时间内通过“山西政府采购平台”进行提交，否则视为不能证明其</w:t>
      </w: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报价合理性。</w:t>
      </w:r>
      <w:r>
        <w:rPr>
          <w:rFonts w:hint="eastAsia" w:ascii="宋体" w:hAnsi="宋体" w:cs="宋体"/>
          <w:b/>
          <w:bCs/>
          <w:color w:val="auto"/>
          <w:kern w:val="0"/>
          <w:sz w:val="24"/>
          <w:highlight w:val="none"/>
          <w:lang w:val="en-US" w:eastAsia="zh-CN"/>
        </w:rPr>
        <w:t>投标人</w:t>
      </w:r>
      <w:r>
        <w:rPr>
          <w:rFonts w:hint="eastAsia" w:ascii="宋体" w:hAnsi="宋体" w:cs="宋体"/>
          <w:b/>
          <w:bCs/>
          <w:color w:val="auto"/>
          <w:kern w:val="0"/>
          <w:sz w:val="24"/>
          <w:highlight w:val="none"/>
        </w:rPr>
        <w:t>不能证明其</w:t>
      </w: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报价合理性的，评审委员会应当将其</w:t>
      </w: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文件作为无效</w:t>
      </w: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处理。</w:t>
      </w:r>
    </w:p>
    <w:p w14:paraId="3080A9D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经审查，合格投标人数量不符合法定投标人家数时，需依法重新组织招标活动。</w:t>
      </w:r>
    </w:p>
    <w:p w14:paraId="5375354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29.评审价格的确定</w:t>
      </w:r>
    </w:p>
    <w:p w14:paraId="203A113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29.1政策性因素价格扣除</w:t>
      </w:r>
    </w:p>
    <w:p w14:paraId="4B01047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评标委员会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hint="eastAsia" w:ascii="宋体" w:hAnsi="宋体" w:eastAsia="宋体" w:cs="宋体"/>
          <w:color w:val="auto"/>
          <w:kern w:val="0"/>
          <w:sz w:val="24"/>
          <w:highlight w:val="none"/>
        </w:rPr>
        <w:t>对符合下列政府采购政策性要求的各投标人的投标报价，按照相应扣除比例进行价格扣除，形成各投标人最终评审价格。</w:t>
      </w:r>
    </w:p>
    <w:p w14:paraId="7F389DF2">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（1）中小微企业参加本项目：</w:t>
      </w:r>
    </w:p>
    <w:p w14:paraId="5CBD6624">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15%的扣除，用扣除后的价格参加评审。</w:t>
      </w:r>
    </w:p>
    <w:p w14:paraId="1F5DAAE0">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（2）残疾人福利单位参加本项目：</w:t>
      </w:r>
    </w:p>
    <w:p w14:paraId="5BB0E68A">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在政府采购活动中，残疾人福利性单位视同小型、微型企业，投标人按《三部门联合发布关于促进残疾人就业政府采购政策的通知》（财库[2017]141号）提供了《</w:t>
      </w:r>
      <w:bookmarkStart w:id="25" w:name="OLE_LINK13"/>
      <w:bookmarkStart w:id="26" w:name="OLE_LINK14"/>
      <w:r>
        <w:rPr>
          <w:rFonts w:hint="eastAsia" w:ascii="宋体" w:hAnsi="宋体" w:eastAsia="宋体" w:cs="宋体"/>
          <w:color w:val="auto"/>
          <w:sz w:val="24"/>
          <w:highlight w:val="none"/>
        </w:rPr>
        <w:t>残疾人福利性单位声明函</w:t>
      </w:r>
      <w:bookmarkEnd w:id="25"/>
      <w:bookmarkEnd w:id="26"/>
      <w:r>
        <w:rPr>
          <w:rFonts w:hint="eastAsia" w:ascii="宋体" w:hAnsi="宋体" w:eastAsia="宋体" w:cs="宋体"/>
          <w:color w:val="auto"/>
          <w:sz w:val="24"/>
          <w:highlight w:val="none"/>
        </w:rPr>
        <w:t>》，给予报价15%的扣除，用扣除后的价格参加评审。</w:t>
      </w:r>
    </w:p>
    <w:p w14:paraId="77706254">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（3）监狱企业参加本项目：</w:t>
      </w:r>
    </w:p>
    <w:p w14:paraId="1AF59181">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2B36B6C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（4）联合体参加本项目：</w:t>
      </w:r>
    </w:p>
    <w:p w14:paraId="1720E220">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5026F89D">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（5）创新产品参加的项目</w:t>
      </w:r>
    </w:p>
    <w:p w14:paraId="11CA24A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7DD14D1F">
      <w:pPr>
        <w:pStyle w:val="16"/>
        <w:keepNext/>
        <w:widowControl w:val="0"/>
        <w:topLinePunct/>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29.2对专门面向中小企业的采购项目，除创新产品参加的项目按28.1第5款进行价格扣除，用扣除后的价格参加评审外，其他各投标人报价即为评审价格。</w:t>
      </w:r>
    </w:p>
    <w:p w14:paraId="34057F96">
      <w:pPr>
        <w:pStyle w:val="16"/>
        <w:keepNext/>
        <w:widowControl w:val="0"/>
        <w:topLinePunct/>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29.3环保节能产品参加的项目：</w:t>
      </w:r>
    </w:p>
    <w:p w14:paraId="2620F7D6">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（1）投报节能产品政府采购品目清单中强制性采购产品以外的其它节能产品，且提供所投产品获得国家确定的认证机构出具的、处于有效期之内的节能产品认证证书的，将给予适当加分。</w:t>
      </w:r>
    </w:p>
    <w:p w14:paraId="7844F5E7">
      <w:pPr>
        <w:keepNext/>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（2）投报环境标志产品政府采购品目清单中的产品，且提供所投产品获得国家确定的认证机构出具的、处于有效期之内的环境标志产品认证证书的，将给予适当加分。</w:t>
      </w:r>
    </w:p>
    <w:p w14:paraId="1885C8DD">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30.评审复核</w:t>
      </w:r>
    </w:p>
    <w:p w14:paraId="79E80832">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30.1评标结果汇总完成后，除下列情形外，任何人不得修改评标结果：</w:t>
      </w:r>
    </w:p>
    <w:p w14:paraId="75E4F074">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（一）分值汇总计算错误的；</w:t>
      </w:r>
    </w:p>
    <w:p w14:paraId="0D6590AC">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（二）分项评分超出评分标准范围的；</w:t>
      </w:r>
    </w:p>
    <w:p w14:paraId="50EB400E">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（三）评标委员会成员对客观评审因素评分不一致的；</w:t>
      </w:r>
    </w:p>
    <w:p w14:paraId="4B73F075">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（四）经评标委员会认定评分畸高、畸低的。</w:t>
      </w:r>
    </w:p>
    <w:p w14:paraId="4B797C89">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2814407C">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30.3投标人对本条第一款情形提出质疑的，采购代理机构可以组织原评标委员会进行重新评审，重新评审改变评标结果的，应当书面报告本级财政部门。</w:t>
      </w:r>
    </w:p>
    <w:p w14:paraId="3B5FF586">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31.推荐中标候选人</w:t>
      </w:r>
    </w:p>
    <w:p w14:paraId="1786D63C">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w:t>
      </w:r>
      <w:r>
        <w:rPr>
          <w:rFonts w:hint="eastAsia" w:ascii="宋体" w:hAnsi="宋体" w:eastAsia="宋体" w:cs="宋体"/>
          <w:color w:val="auto"/>
          <w:sz w:val="24"/>
          <w:highlight w:val="none"/>
        </w:rPr>
        <w:t>推荐中标候选人顺序须</w:t>
      </w:r>
      <w:r>
        <w:rPr>
          <w:rFonts w:hint="eastAsia" w:ascii="宋体" w:hAnsi="宋体" w:eastAsia="宋体" w:cs="宋体"/>
          <w:color w:val="auto"/>
          <w:kern w:val="0"/>
          <w:sz w:val="24"/>
          <w:highlight w:val="none"/>
        </w:rPr>
        <w:t>遵循下列原则：</w:t>
      </w:r>
    </w:p>
    <w:p w14:paraId="7B199ECA">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31.1.1采用综合评分法的，遵循下列原则：</w:t>
      </w:r>
    </w:p>
    <w:p w14:paraId="6B49C6BE">
      <w:pPr>
        <w:keepNext/>
        <w:tabs>
          <w:tab w:val="left" w:pos="0"/>
        </w:tabs>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31.1.1.1按评审后投标人的综合得分由高到低顺序排列。</w:t>
      </w:r>
    </w:p>
    <w:p w14:paraId="1C3D219A">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31.1.1.2综合得分相同的，按投标报价由低到高顺序排列。</w:t>
      </w:r>
    </w:p>
    <w:p w14:paraId="6F065F71">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31.1.1.3综合得分且投标报价相同的按照技术、服务等因素得分较高顺序排列。</w:t>
      </w:r>
    </w:p>
    <w:p w14:paraId="2A69BEBA">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31.1.1.4对于提供相同品牌产品的投标人，在推荐中标候选人时需遵循以下原则：</w:t>
      </w:r>
    </w:p>
    <w:p w14:paraId="023580A4">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组长当众采取随机抽取方式确定一个投标人获得中标候选人推荐资格，</w:t>
      </w:r>
      <w:r>
        <w:rPr>
          <w:rFonts w:hint="eastAsia" w:ascii="宋体" w:hAnsi="宋体" w:eastAsia="宋体" w:cs="宋体"/>
          <w:color w:val="auto"/>
          <w:sz w:val="24"/>
          <w:highlight w:val="none"/>
          <w:shd w:val="clear" w:color="auto" w:fill="FFFFFF"/>
        </w:rPr>
        <w:t>其他同品牌投标人不作为中标候选人。</w:t>
      </w:r>
    </w:p>
    <w:p w14:paraId="71337F8D">
      <w:pPr>
        <w:keepNext/>
        <w:tabs>
          <w:tab w:val="left" w:pos="0"/>
        </w:tabs>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color w:val="auto"/>
          <w:kern w:val="0"/>
          <w:sz w:val="24"/>
          <w:highlight w:val="none"/>
        </w:rPr>
        <w:t>对于非单一产品采购项目，</w:t>
      </w:r>
      <w:r>
        <w:rPr>
          <w:rFonts w:hint="eastAsia" w:ascii="宋体" w:hAnsi="宋体" w:eastAsia="宋体" w:cs="宋体"/>
          <w:b/>
          <w:bCs/>
          <w:color w:val="auto"/>
          <w:kern w:val="0"/>
          <w:sz w:val="24"/>
          <w:highlight w:val="none"/>
        </w:rPr>
        <w:t>多家投标人提供的在招标文件中由采购人依据技术构成、产品价格比重等合理确定的核心产品（采购标的前标有“*”或“核心产品”字样）</w:t>
      </w:r>
      <w:r>
        <w:rPr>
          <w:rFonts w:hint="eastAsia" w:ascii="宋体" w:hAnsi="宋体" w:eastAsia="宋体" w:cs="宋体"/>
          <w:color w:val="auto"/>
          <w:kern w:val="0"/>
          <w:sz w:val="24"/>
          <w:highlight w:val="none"/>
        </w:rPr>
        <w:t>为相同品牌的，按33.1.1.4（1）条规定确定</w:t>
      </w:r>
      <w:r>
        <w:rPr>
          <w:rFonts w:hint="eastAsia" w:ascii="宋体" w:hAnsi="宋体" w:eastAsia="宋体" w:cs="宋体"/>
          <w:bCs/>
          <w:color w:val="auto"/>
          <w:kern w:val="0"/>
          <w:sz w:val="24"/>
          <w:highlight w:val="none"/>
        </w:rPr>
        <w:t>获得中标候选人推荐资格的投标人</w:t>
      </w:r>
      <w:r>
        <w:rPr>
          <w:rFonts w:hint="eastAsia" w:ascii="宋体" w:hAnsi="宋体" w:eastAsia="宋体" w:cs="宋体"/>
          <w:color w:val="auto"/>
          <w:kern w:val="0"/>
          <w:sz w:val="24"/>
          <w:highlight w:val="none"/>
        </w:rPr>
        <w:t>。</w:t>
      </w:r>
    </w:p>
    <w:p w14:paraId="3CCC8E21">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31.1.1.5评标委员会应当根据综合得分情况，按照综合得分由高到低的顺序推荐3名中标候选人。</w:t>
      </w:r>
    </w:p>
    <w:p w14:paraId="1FA091DB">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31.1.1.6评审得分最高的投标人为第一的中标候选人。</w:t>
      </w:r>
    </w:p>
    <w:p w14:paraId="28139D2A">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31.1.2采用最低评标价法的，遵循下列原则：</w:t>
      </w:r>
    </w:p>
    <w:p w14:paraId="097D2F10">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31.1.2.1按评审后按投标报价由低到高顺序排列。</w:t>
      </w:r>
    </w:p>
    <w:p w14:paraId="7BD549C5">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31.1.2.2投标报价相同的并列。投标文件满足招标文件全部实质性要求且投标报价最低的投标人为排名第一的中标候选人。</w:t>
      </w:r>
    </w:p>
    <w:p w14:paraId="53A2CDE4">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31.1.2.3对于提供相同品牌产品的投标人，在推荐中标候选人时需遵循以下原则：</w:t>
      </w:r>
    </w:p>
    <w:p w14:paraId="47BE9F73">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350FD20E">
      <w:pPr>
        <w:keepNext/>
        <w:tabs>
          <w:tab w:val="left" w:pos="0"/>
        </w:tabs>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（2）对于非单一产品采购项目，</w:t>
      </w:r>
      <w:r>
        <w:rPr>
          <w:rFonts w:hint="eastAsia" w:ascii="宋体" w:hAnsi="宋体" w:eastAsia="宋体" w:cs="宋体"/>
          <w:b/>
          <w:bCs/>
          <w:color w:val="auto"/>
          <w:kern w:val="0"/>
          <w:sz w:val="24"/>
          <w:highlight w:val="none"/>
        </w:rPr>
        <w:t>多家投标人提供的在招标文件中由采购人依据技术构成、产品价格比重等合理确定的核心产品（采购标的前标有“*”或“核心产品”字样）</w:t>
      </w:r>
      <w:r>
        <w:rPr>
          <w:rFonts w:hint="eastAsia" w:ascii="宋体" w:hAnsi="宋体" w:eastAsia="宋体" w:cs="宋体"/>
          <w:color w:val="auto"/>
          <w:kern w:val="0"/>
          <w:sz w:val="24"/>
          <w:highlight w:val="none"/>
        </w:rPr>
        <w:t>为相同品牌的，按31.1.2.3（1）规定确定</w:t>
      </w:r>
      <w:r>
        <w:rPr>
          <w:rFonts w:hint="eastAsia" w:ascii="宋体" w:hAnsi="宋体" w:eastAsia="宋体" w:cs="宋体"/>
          <w:bCs/>
          <w:color w:val="auto"/>
          <w:kern w:val="0"/>
          <w:sz w:val="24"/>
          <w:highlight w:val="none"/>
        </w:rPr>
        <w:t>获得中标候选人推荐资格的投标人</w:t>
      </w:r>
      <w:r>
        <w:rPr>
          <w:rFonts w:hint="eastAsia" w:ascii="宋体" w:hAnsi="宋体" w:eastAsia="宋体" w:cs="宋体"/>
          <w:color w:val="auto"/>
          <w:kern w:val="0"/>
          <w:sz w:val="24"/>
          <w:highlight w:val="none"/>
        </w:rPr>
        <w:t>。</w:t>
      </w:r>
    </w:p>
    <w:p w14:paraId="1B44D889">
      <w:pPr>
        <w:keepNext/>
        <w:tabs>
          <w:tab w:val="left" w:pos="0"/>
        </w:tabs>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32.确定中标人</w:t>
      </w:r>
    </w:p>
    <w:p w14:paraId="58ABA11A">
      <w:pPr>
        <w:keepNext/>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本次招标，授权评标委员会按照中标候选人排序，优先直接确定排名第一的投标人为中标人。</w:t>
      </w:r>
    </w:p>
    <w:p w14:paraId="6C13B1C8">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33.编写评标报告</w:t>
      </w:r>
    </w:p>
    <w:p w14:paraId="076438DF">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33.1评标委员会根据全体成员签字的原始评标记录和评标结果编写商务技术文件评标报告。评标报告应当包括以下内容：</w:t>
      </w:r>
    </w:p>
    <w:p w14:paraId="18142844">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（一）招标公告刊登的媒体名称、开标日期和地点；</w:t>
      </w:r>
    </w:p>
    <w:p w14:paraId="125B1AF5">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bCs/>
          <w:color w:val="auto"/>
          <w:kern w:val="0"/>
          <w:sz w:val="24"/>
          <w:highlight w:val="none"/>
        </w:rPr>
        <w:t>投标人名单</w:t>
      </w:r>
      <w:r>
        <w:rPr>
          <w:rFonts w:hint="eastAsia" w:ascii="宋体" w:hAnsi="宋体" w:eastAsia="宋体" w:cs="宋体"/>
          <w:color w:val="auto"/>
          <w:kern w:val="0"/>
          <w:sz w:val="24"/>
          <w:highlight w:val="none"/>
        </w:rPr>
        <w:t>和评标委员会成员名单；</w:t>
      </w:r>
    </w:p>
    <w:p w14:paraId="20E4BC29">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（三）评审方法和评审标准；</w:t>
      </w:r>
    </w:p>
    <w:p w14:paraId="2CFC5833">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（四）开标记录和评标情况及说明，包括无效投标人名单及原因；</w:t>
      </w:r>
    </w:p>
    <w:p w14:paraId="626435E4">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（五）评标结果，</w:t>
      </w:r>
      <w:r>
        <w:rPr>
          <w:rFonts w:hint="eastAsia" w:ascii="宋体" w:hAnsi="宋体" w:eastAsia="宋体" w:cs="宋体"/>
          <w:bCs/>
          <w:color w:val="auto"/>
          <w:kern w:val="0"/>
          <w:sz w:val="24"/>
          <w:highlight w:val="none"/>
        </w:rPr>
        <w:t>确定的中标候选人名单、评标委员会直接确定的中标人；</w:t>
      </w:r>
    </w:p>
    <w:p w14:paraId="3253BF44">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（六）其他需要说明的情况，包括评标过程中投标人根据评标委员会要求进行的澄清、说明或者补正，评标委员会成员的更换等。 </w:t>
      </w:r>
    </w:p>
    <w:p w14:paraId="669544B3">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53E2343C">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34.评标过程保密</w:t>
      </w:r>
    </w:p>
    <w:p w14:paraId="34106A26">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34.1在评审期间，任何人不得透露与评审有关的其他投标人的投标内容及响应方案和其他信息。</w:t>
      </w:r>
    </w:p>
    <w:p w14:paraId="75303C78">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34.2采购人、采购代理机构应当采取必要措施，保证评审在严格保密的情况下进行。除评审现场工作人员、采购人代表外，采购人的其他工作人员以及与评审工作无关的人员不得进入评审现场。</w:t>
      </w:r>
    </w:p>
    <w:p w14:paraId="43F6B14B">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34.3评审开始，直到授予中标人合同止，凡是属于审查、澄清、评价和比较评审的有关资料等，均不得向参与投标的投标人或其他与评审无关的人员透露。</w:t>
      </w:r>
    </w:p>
    <w:p w14:paraId="59772185">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34.4评审结束，进入评审现场的工作人员及评标委员会成员不得将评审、评定有关的任何资料带出评审现场。</w:t>
      </w:r>
    </w:p>
    <w:p w14:paraId="6FFAA94C">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35.关于投标人非实质性响应滞后发现的处理规则</w:t>
      </w:r>
    </w:p>
    <w:p w14:paraId="5E3C59EA">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无论基于何种原因，各项本应作拒绝或无效投标处理的情形，即便未被及时发现而使该投标人进入后续程序的，包括已经签约的情形。一旦被发现，采购代理机构均有权采取相应的补救及纠正措施。</w:t>
      </w:r>
    </w:p>
    <w:p w14:paraId="24C920C0">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36.无效投标与无效评标</w:t>
      </w:r>
    </w:p>
    <w:p w14:paraId="2256B6BE">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36.1有下列情形之一的，视为投标人串通投标，其投标无效：</w:t>
      </w:r>
    </w:p>
    <w:p w14:paraId="56D5BC28">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（一）不同投标人的投标文件由同一单位或者个人编制；</w:t>
      </w:r>
    </w:p>
    <w:p w14:paraId="5D3800A0">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（二）不同投标人委托同一单位或者个人办理投标事宜；</w:t>
      </w:r>
    </w:p>
    <w:p w14:paraId="34FB5250">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（三）不同投标人的投标文件载明的项目管理成员或者联系人员为同一人；</w:t>
      </w:r>
    </w:p>
    <w:p w14:paraId="45BBF3A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（四）不同投标人的投标文件异常一致或者投标报价呈规律性差异；</w:t>
      </w:r>
    </w:p>
    <w:p w14:paraId="5433E061">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（五）不同投标人的投标文件相互混装；</w:t>
      </w:r>
    </w:p>
    <w:p w14:paraId="5DB51A74">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36.2评标委员会或者其成员存在下列情形导致评标结果无效的，采购人、采购代理机构可以重新组建评标委员会进行评标，并书面报告本级财政部门，但采购合同已经履行的除外：</w:t>
      </w:r>
    </w:p>
    <w:p w14:paraId="37C9D76D">
      <w:pPr>
        <w:keepNext/>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（一）评标委员会组成不符合《政府采购货物和服务招标投标管理办法》规定的；</w:t>
      </w:r>
    </w:p>
    <w:p w14:paraId="0C1EBB30">
      <w:pPr>
        <w:keepNext/>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（二）有《政府采购货物和服务招标投标管理办法》第六十二条第一至五项情形的；</w:t>
      </w:r>
    </w:p>
    <w:p w14:paraId="27A794DC">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（三）评标委员会及其成员独立评标受到非法干预的；</w:t>
      </w:r>
    </w:p>
    <w:p w14:paraId="74409225">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（四）有《中华人民共和国政府采购法实施条例》第七十五条规定的违法行为的。</w:t>
      </w:r>
    </w:p>
    <w:p w14:paraId="57167BA4">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有违法违规行为的原评标委员会成员不得参加重新组建的评标委员会。</w:t>
      </w:r>
    </w:p>
    <w:p w14:paraId="1C9D14F2">
      <w:pPr>
        <w:keepNext/>
        <w:tabs>
          <w:tab w:val="left" w:pos="567"/>
        </w:tabs>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37.采购项目终止与处理</w:t>
      </w:r>
    </w:p>
    <w:p w14:paraId="52F0F7B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37.1采购人、采购代理机构在发布招标公告、资格预审公告或者发出招标公告后，除因重大变故采购任务取消情况外，不得擅自终止招标活动。</w:t>
      </w:r>
    </w:p>
    <w:p w14:paraId="65BAA0EC">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C4ADB22">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37.2公开招标数额标准以上的采购项目（如分包按包计），投标截止后投标人不足3家或者通过资格审查或符合性审查的投标人不足3家的，除采购任务取消情形外，按照以下方式处理：</w:t>
      </w:r>
    </w:p>
    <w:p w14:paraId="7C4E97C6">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（一）招标文件存在不合理条款或者招标程序不符合规定的，采购人、采购代理机构改正后依法重新招标；</w:t>
      </w:r>
    </w:p>
    <w:p w14:paraId="09829124">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（二）招标文件没有不合理条款、招标程序符合规定，需要采用其他采购方式采购的，采购人应当依法报财政部门批准。</w:t>
      </w:r>
    </w:p>
    <w:p w14:paraId="3391D2A2">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采购项目（按包计）终止后，评标委员会应做出报告；采购代理机构应当将废标原因通知所有投标人，并依法重新组织采购活动。</w:t>
      </w:r>
    </w:p>
    <w:p w14:paraId="7CF0E018">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15649430">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38.中标结果公告与中标通知</w:t>
      </w:r>
    </w:p>
    <w:p w14:paraId="670DE0E3">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38.1采购代理机构应当自中标人确定之日起2个工作日内，在</w:t>
      </w:r>
      <w:r>
        <w:rPr>
          <w:rFonts w:hint="eastAsia" w:ascii="宋体" w:hAnsi="宋体" w:eastAsia="宋体" w:cs="宋体"/>
          <w:b/>
          <w:bCs/>
          <w:color w:val="auto"/>
          <w:kern w:val="0"/>
          <w:sz w:val="24"/>
          <w:highlight w:val="none"/>
          <w:u w:val="single"/>
        </w:rPr>
        <w:t>中国政府采购网山西分网</w:t>
      </w:r>
      <w:r>
        <w:rPr>
          <w:rFonts w:hint="eastAsia" w:ascii="宋体" w:hAnsi="宋体" w:eastAsia="宋体" w:cs="宋体"/>
          <w:color w:val="auto"/>
          <w:kern w:val="0"/>
          <w:sz w:val="24"/>
          <w:highlight w:val="none"/>
        </w:rPr>
        <w:t>上公告中标结果，同时向中标人发出中标通知书，并将本项目招标文件、中标人提供的《中小企业声明函》或《残疾人企业声明函》或《监狱企业声明函》与</w:t>
      </w:r>
      <w:r>
        <w:rPr>
          <w:rFonts w:hint="eastAsia" w:ascii="宋体" w:hAnsi="宋体" w:eastAsia="宋体" w:cs="宋体"/>
          <w:b/>
          <w:color w:val="auto"/>
          <w:sz w:val="24"/>
          <w:highlight w:val="none"/>
        </w:rPr>
        <w:t>由省级以上监狱管理局、戒毒管理局（含新疆生产建设兵团）出具的属于监狱企业的证明文件</w:t>
      </w:r>
      <w:r>
        <w:rPr>
          <w:rFonts w:hint="eastAsia" w:ascii="宋体" w:hAnsi="宋体" w:eastAsia="宋体" w:cs="宋体"/>
          <w:color w:val="auto"/>
          <w:kern w:val="0"/>
          <w:sz w:val="24"/>
          <w:highlight w:val="none"/>
        </w:rPr>
        <w:t>随结果公告同时发布。中标结果公告应当包括：</w:t>
      </w:r>
    </w:p>
    <w:p w14:paraId="67BF46C3">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（一）项目名称和项目编号；</w:t>
      </w:r>
    </w:p>
    <w:p w14:paraId="10BA5CD9">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（二）中标人名称、地址、中标金额和评审总得分；</w:t>
      </w:r>
    </w:p>
    <w:p w14:paraId="72645ADB">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（三）主要中标标的信息：包含标的名称、规格、型号、数量、品牌、中标单价等；</w:t>
      </w:r>
    </w:p>
    <w:p w14:paraId="283AA00A">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（四）评标委员会成员名单；</w:t>
      </w:r>
    </w:p>
    <w:p w14:paraId="3F19A14D">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（五）采购代理服务费收费标准及金额；</w:t>
      </w:r>
    </w:p>
    <w:p w14:paraId="31AD48D7">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（六）公告期限；</w:t>
      </w:r>
    </w:p>
    <w:p w14:paraId="7E266E57">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（七）采购人和采购代理机构的名称、地址和联系方式；</w:t>
      </w:r>
    </w:p>
    <w:p w14:paraId="61A5B21F">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（八）其他需要公示的内容。</w:t>
      </w:r>
    </w:p>
    <w:p w14:paraId="7C7A86D9">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38.2除以上公示信息外，采购代理机构对未中标的投标人不做未中标原因的解释。</w:t>
      </w:r>
    </w:p>
    <w:p w14:paraId="77DDC8B7">
      <w:pPr>
        <w:keepNext/>
        <w:topLinePunct/>
        <w:adjustRightInd w:val="0"/>
        <w:snapToGrid w:val="0"/>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38.3中标通知书对采购人和中标人具有同等法律效力，是合同的组成部分。</w:t>
      </w:r>
    </w:p>
    <w:p w14:paraId="2101BA97">
      <w:pPr>
        <w:keepNext/>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38.4除不可抗力等因素外，中标通知书发出后，采购人改变中标结果或者中标人拒绝签订合同的，应当承担相应的法律责任。</w:t>
      </w:r>
    </w:p>
    <w:p w14:paraId="692327BD">
      <w:pPr>
        <w:keepNext/>
        <w:tabs>
          <w:tab w:val="left" w:pos="0"/>
        </w:tabs>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39.中标服务费</w:t>
      </w:r>
    </w:p>
    <w:p w14:paraId="720574CF">
      <w:pPr>
        <w:keepNext/>
        <w:tabs>
          <w:tab w:val="left" w:pos="567"/>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39.1 收费标准</w:t>
      </w:r>
    </w:p>
    <w:p w14:paraId="18359263">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采购代理机构以委托项目中每包的中标金额为计费依据，参照《招标代理服务收费管理暂行办法》（计价格[2002]1980号）文件的规定，按差额定率累进法计算的结果乘以</w:t>
      </w:r>
      <w:r>
        <w:rPr>
          <w:rFonts w:hint="eastAsia" w:ascii="宋体" w:hAnsi="宋体" w:cs="宋体"/>
          <w:color w:val="auto"/>
          <w:kern w:val="0"/>
          <w:sz w:val="24"/>
          <w:highlight w:val="none"/>
          <w:lang w:val="en-US" w:eastAsia="zh-CN"/>
        </w:rPr>
        <w:t>90</w:t>
      </w:r>
      <w:r>
        <w:rPr>
          <w:rFonts w:hint="eastAsia" w:ascii="宋体" w:hAnsi="宋体" w:eastAsia="宋体" w:cs="宋体"/>
          <w:color w:val="auto"/>
          <w:kern w:val="0"/>
          <w:sz w:val="24"/>
          <w:highlight w:val="none"/>
        </w:rPr>
        <w:t>%。</w:t>
      </w:r>
    </w:p>
    <w:p w14:paraId="7BC5EE83">
      <w:pPr>
        <w:pStyle w:val="32"/>
        <w:keepNext/>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39.2 中标人在收到中标通知书时，应向采购代理机构一次性付清中标服务费。</w:t>
      </w:r>
    </w:p>
    <w:p w14:paraId="0A6F08E2">
      <w:pPr>
        <w:pStyle w:val="32"/>
        <w:keepNext/>
        <w:spacing w:line="360" w:lineRule="auto"/>
        <w:ind w:firstLine="482" w:firstLineChars="200"/>
        <w:rPr>
          <w:rFonts w:hint="eastAsia" w:ascii="宋体" w:hAnsi="宋体" w:eastAsia="宋体" w:cs="宋体"/>
          <w:b/>
          <w:bCs/>
          <w:color w:val="auto"/>
          <w:kern w:val="0"/>
          <w:sz w:val="24"/>
          <w:highlight w:val="none"/>
        </w:rPr>
      </w:pPr>
      <w:bookmarkStart w:id="27" w:name="_Toc12453"/>
      <w:r>
        <w:rPr>
          <w:rFonts w:hint="eastAsia" w:ascii="宋体" w:hAnsi="宋体" w:eastAsia="宋体" w:cs="宋体"/>
          <w:b/>
          <w:bCs/>
          <w:color w:val="auto"/>
          <w:kern w:val="0"/>
          <w:sz w:val="24"/>
          <w:highlight w:val="none"/>
        </w:rPr>
        <w:t>采购代理机构账户信息</w:t>
      </w:r>
    </w:p>
    <w:p w14:paraId="09EB3DCF">
      <w:pPr>
        <w:pStyle w:val="32"/>
        <w:keepNext/>
        <w:spacing w:line="360" w:lineRule="auto"/>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开户名称：山西晋鑫项目管理有限公司</w:t>
      </w:r>
    </w:p>
    <w:p w14:paraId="1E8C30A7">
      <w:pPr>
        <w:pStyle w:val="32"/>
        <w:keepNext/>
        <w:spacing w:line="360" w:lineRule="auto"/>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开户银行：山西尧都农村商业银行股份有限公司太原平阳路小微企业专营支行</w:t>
      </w:r>
    </w:p>
    <w:p w14:paraId="732B35FB">
      <w:pPr>
        <w:pStyle w:val="32"/>
        <w:keepNext/>
        <w:spacing w:line="360" w:lineRule="auto"/>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行    号：402161080022</w:t>
      </w:r>
    </w:p>
    <w:p w14:paraId="4D7054D8">
      <w:pPr>
        <w:pStyle w:val="32"/>
        <w:keepNext/>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账    号：601463010300000041439</w:t>
      </w:r>
    </w:p>
    <w:p w14:paraId="0B3D8E57">
      <w:pPr>
        <w:keepNext/>
        <w:snapToGrid w:val="0"/>
        <w:spacing w:line="360" w:lineRule="auto"/>
        <w:ind w:firstLine="482" w:firstLineChars="200"/>
        <w:outlineLvl w:val="1"/>
        <w:rPr>
          <w:rFonts w:hint="eastAsia" w:ascii="宋体" w:hAnsi="宋体" w:eastAsia="宋体" w:cs="宋体"/>
          <w:b/>
          <w:color w:val="auto"/>
          <w:kern w:val="0"/>
          <w:sz w:val="24"/>
          <w:highlight w:val="none"/>
        </w:rPr>
      </w:pPr>
      <w:bookmarkStart w:id="28" w:name="_Toc180347459"/>
      <w:r>
        <w:rPr>
          <w:rFonts w:hint="eastAsia" w:ascii="宋体" w:hAnsi="宋体" w:eastAsia="宋体" w:cs="宋体"/>
          <w:b/>
          <w:color w:val="auto"/>
          <w:kern w:val="0"/>
          <w:sz w:val="24"/>
          <w:highlight w:val="none"/>
        </w:rPr>
        <w:t>八、签订合同</w:t>
      </w:r>
      <w:bookmarkEnd w:id="27"/>
      <w:bookmarkEnd w:id="28"/>
    </w:p>
    <w:p w14:paraId="7D99E279">
      <w:pPr>
        <w:keepNext/>
        <w:tabs>
          <w:tab w:val="left" w:pos="567"/>
        </w:tabs>
        <w:snapToGrid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42.签订合同</w:t>
      </w:r>
    </w:p>
    <w:p w14:paraId="678FAE48">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40.1采购人与中标人应当在中标通知书发出后10日内签订政府采购合同，最长不得超过30日，按照招标文件和中标人投标文件的规定及评标过程中的有关澄清、说明或者补正文件的内容，与中标人签订政府采购合同。所签订的合同不得对招标文件确定的事项和中标人的投标文件作实质性修改。</w:t>
      </w:r>
    </w:p>
    <w:p w14:paraId="455517FB">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40.2采购人不得向中标人提出任何不合理的要求作为签订合同的条件。</w:t>
      </w:r>
    </w:p>
    <w:p w14:paraId="5156740F">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40.3在合同履行中，采购人如需追加与合同标的相同的货物，在不改变合同其他条款的前提下，采购人可与中标人协商签订补充合同，但所有补充合同的采购金额不得超过原合同金额的百分之十。 </w:t>
      </w:r>
    </w:p>
    <w:p w14:paraId="1144CA57">
      <w:pPr>
        <w:pStyle w:val="30"/>
        <w:keepNext/>
        <w:snapToGrid w:val="0"/>
        <w:spacing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40.4投标人根据招标文件的规定和采购项目的实际情况，拟在中标后将中标项目的非主体、非关键性工作分包的，应当在投标文件中载明分包承担主体，分包承担主体应当具备相应资质条件且不得再次分包。</w:t>
      </w:r>
    </w:p>
    <w:p w14:paraId="025AD50D">
      <w:pPr>
        <w:pStyle w:val="30"/>
        <w:keepNext/>
        <w:snapToGrid w:val="0"/>
        <w:spacing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40.5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47B69277">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40.6采购人与中标人应当根据合同的约定依法履行合同义务。</w:t>
      </w:r>
    </w:p>
    <w:p w14:paraId="74F10D7E">
      <w:pPr>
        <w:keepNext/>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40.7中标人应当自合同或补充合同签订之日起五个工作日内，将合同报采购代理机构存档，采购人自合同签订之日起2个工作日内在</w:t>
      </w:r>
      <w:r>
        <w:rPr>
          <w:rFonts w:hint="eastAsia" w:ascii="宋体" w:hAnsi="宋体" w:eastAsia="宋体" w:cs="宋体"/>
          <w:b/>
          <w:color w:val="auto"/>
          <w:kern w:val="0"/>
          <w:sz w:val="24"/>
          <w:highlight w:val="none"/>
          <w:u w:val="single"/>
        </w:rPr>
        <w:t>中国政府采购网山西分网</w:t>
      </w:r>
      <w:r>
        <w:rPr>
          <w:rFonts w:hint="eastAsia" w:ascii="宋体" w:hAnsi="宋体" w:eastAsia="宋体" w:cs="宋体"/>
          <w:color w:val="auto"/>
          <w:kern w:val="0"/>
          <w:sz w:val="24"/>
          <w:highlight w:val="none"/>
        </w:rPr>
        <w:t>进行公示。</w:t>
      </w:r>
    </w:p>
    <w:p w14:paraId="6F0E8BDD">
      <w:pPr>
        <w:keepNext/>
        <w:snapToGrid w:val="0"/>
        <w:spacing w:line="360" w:lineRule="auto"/>
        <w:ind w:firstLine="482" w:firstLineChars="200"/>
        <w:outlineLvl w:val="1"/>
        <w:rPr>
          <w:rFonts w:hint="eastAsia" w:ascii="宋体" w:hAnsi="宋体" w:eastAsia="宋体" w:cs="宋体"/>
          <w:b/>
          <w:color w:val="auto"/>
          <w:kern w:val="0"/>
          <w:sz w:val="24"/>
          <w:highlight w:val="none"/>
        </w:rPr>
      </w:pPr>
      <w:bookmarkStart w:id="29" w:name="_Toc180347460"/>
      <w:bookmarkStart w:id="30" w:name="_Toc1122"/>
      <w:r>
        <w:rPr>
          <w:rFonts w:hint="eastAsia" w:ascii="宋体" w:hAnsi="宋体" w:eastAsia="宋体" w:cs="宋体"/>
          <w:b/>
          <w:color w:val="auto"/>
          <w:kern w:val="0"/>
          <w:sz w:val="24"/>
          <w:highlight w:val="none"/>
        </w:rPr>
        <w:t>九、保密和披露</w:t>
      </w:r>
      <w:bookmarkEnd w:id="29"/>
      <w:bookmarkEnd w:id="30"/>
    </w:p>
    <w:p w14:paraId="74037FD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41.1采购人、采购代理机构自发布招标公告之日至发布结果公告前，对获悉的参加本项目的投标人名称、数量以及评标委员会成员等所有信息等负有保密义务。</w:t>
      </w:r>
    </w:p>
    <w:p w14:paraId="152A9BC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41.2投标人对投标过程中获得的任何信息承担保密义务，不得向第三方外传。</w:t>
      </w:r>
    </w:p>
    <w:p w14:paraId="1D7653C6">
      <w:pPr>
        <w:keepNext/>
        <w:topLinePunct/>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41.3参加评审的相关人员，对评审情况以及在评审过程中获悉的国家秘密、商业秘密负有保密责任。</w:t>
      </w:r>
    </w:p>
    <w:p w14:paraId="0DD66DD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41.4采购人、采购代理机构在国家机关调查、审查、审计、处理投诉等事宜以及其他符合规定的情形时，无须事先征求投标人同意可向有关部门披露关于本项目（包）评审过程的资料与有关信息。</w:t>
      </w:r>
    </w:p>
    <w:p w14:paraId="660C3CCF">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41.5采购人、采购代理机构对任何已经公布过的内容或与之内容相同的资料，无须再承担保密责任。</w:t>
      </w:r>
    </w:p>
    <w:p w14:paraId="2B6CE533">
      <w:pPr>
        <w:keepNext/>
        <w:topLinePunc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31" w:name="_Toc180347461"/>
      <w:bookmarkStart w:id="32" w:name="_Toc16953"/>
      <w:r>
        <w:rPr>
          <w:rFonts w:hint="eastAsia" w:ascii="宋体" w:hAnsi="宋体" w:eastAsia="宋体" w:cs="宋体"/>
          <w:b/>
          <w:color w:val="auto"/>
          <w:kern w:val="0"/>
          <w:sz w:val="24"/>
          <w:highlight w:val="none"/>
        </w:rPr>
        <w:t>十、询问和质疑</w:t>
      </w:r>
      <w:bookmarkEnd w:id="31"/>
      <w:bookmarkEnd w:id="32"/>
    </w:p>
    <w:p w14:paraId="154EDD97">
      <w:pPr>
        <w:keepNext/>
        <w:topLinePunct/>
        <w:adjustRightInd w:val="0"/>
        <w:snapToGrid w:val="0"/>
        <w:spacing w:line="360" w:lineRule="auto"/>
        <w:ind w:firstLine="480" w:firstLineChars="200"/>
        <w:rPr>
          <w:rFonts w:hint="eastAsia" w:ascii="宋体" w:hAnsi="宋体" w:eastAsia="宋体" w:cs="宋体"/>
          <w:color w:val="auto"/>
          <w:sz w:val="24"/>
          <w:highlight w:val="none"/>
        </w:rPr>
      </w:pPr>
      <w:bookmarkStart w:id="33" w:name="_Toc15302"/>
      <w:r>
        <w:rPr>
          <w:rFonts w:hint="eastAsia" w:ascii="宋体" w:hAnsi="宋体" w:eastAsia="宋体" w:cs="宋体"/>
          <w:color w:val="auto"/>
          <w:sz w:val="24"/>
          <w:highlight w:val="none"/>
        </w:rPr>
        <w:t>42.评审程序受本文件及相关法律法规的约束，并受到上级主管部门严格的监督，为确保授予合同过程的公平公正，投标人有权就本招标项目事宜按以下要求提出询问或质疑。</w:t>
      </w:r>
    </w:p>
    <w:p w14:paraId="6C837134">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42.1投标人对本招标文件、评审活动事项有疑问的，应通过“山西政府采购平台”中的“项目质疑管理”程序在线向采购人或采购代理机构提出询问或质疑。</w:t>
      </w:r>
    </w:p>
    <w:p w14:paraId="13BDED82">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42.2投标人在质疑期内，应当一次性提出针对同一评审程序环节的质疑；</w:t>
      </w:r>
    </w:p>
    <w:p w14:paraId="524881C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42.3投标人认为本招标文件、评审过程、中标结果使自己的合法权益受到损害的，可以在知道或者应知其权益受到损害之日起7个工作日内提出；</w:t>
      </w:r>
    </w:p>
    <w:p w14:paraId="7F992FE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42.4提出质疑的投标人应当是参与本项目投标活动的投标人；</w:t>
      </w:r>
    </w:p>
    <w:p w14:paraId="630D632A">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潜在投标人已依法获取其可质疑的招标文件的，可以对该文件提出质疑。对招标文件提出质疑的，应当在获取招标文件或者招标公告期限届满之日起7个工作日内提出；</w:t>
      </w:r>
    </w:p>
    <w:p w14:paraId="31B9F824">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42.5提出质疑的投标人为自然人的，应当加盖本人电子签章；为法人或者其他组织的，应当加盖法定代表人、主要负责人或者参加本项目的授权代表或授权委托代理人的电子签章，并加盖CA数字证书电子印章；</w:t>
      </w:r>
    </w:p>
    <w:p w14:paraId="6D1BB1A8">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42.6投标人提出质疑应当提交质疑函和必要的证明材料。质疑函应当包括以下主要内容：</w:t>
      </w:r>
    </w:p>
    <w:p w14:paraId="44D3A368">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42.6.1投标人的姓名或者名称、地址、邮编、联系人及联系电话；</w:t>
      </w:r>
    </w:p>
    <w:p w14:paraId="7A3D9FF4">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42.6.2质疑项目名称、编号、包号；</w:t>
      </w:r>
    </w:p>
    <w:p w14:paraId="5B74454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42.6.3具体、明确的质疑事项和与质疑事项相关的请求；</w:t>
      </w:r>
    </w:p>
    <w:p w14:paraId="6FC214E1">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42.6.4事实依据；</w:t>
      </w:r>
    </w:p>
    <w:p w14:paraId="47ED5721">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42.6.5必要的法律依据；</w:t>
      </w:r>
    </w:p>
    <w:p w14:paraId="7A2254E1">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42.6.6提出质疑的日期。</w:t>
      </w:r>
    </w:p>
    <w:p w14:paraId="3D164FDD">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18FE21B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42.8有下列情形之一的，采购代理机构或采购人应当在“山西政府采购平台”的“项目质疑管理”程序中的“受理内容”处标明“退回补正”，并说明“原因”：</w:t>
      </w:r>
    </w:p>
    <w:p w14:paraId="329E83FA">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42.8.1质疑未按44.6、44.7的要求提出的；</w:t>
      </w:r>
    </w:p>
    <w:p w14:paraId="011B9E3C">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42.8.2质疑未按44.5要求签章的；</w:t>
      </w:r>
    </w:p>
    <w:p w14:paraId="14FB8F92">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42.8.3其它不符合要求的质疑情形。</w:t>
      </w:r>
    </w:p>
    <w:p w14:paraId="4E33157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42.9存在以下情形的，投标人的质疑采购代理机构或采购人不予受理：</w:t>
      </w:r>
    </w:p>
    <w:p w14:paraId="65BD99C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42.9.1潜在投标人未依法获取其可质疑的招标文件，对招标文件进行质疑的；</w:t>
      </w:r>
    </w:p>
    <w:p w14:paraId="2A8D8B6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42.9.2投标人在法定质疑期内针对同一采购程序环节重复提出的质疑；</w:t>
      </w:r>
    </w:p>
    <w:p w14:paraId="079F7BEA">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42.9.3未参加本项目投标活动的投标人针对采购过程、中标结果提出质疑的；</w:t>
      </w:r>
    </w:p>
    <w:p w14:paraId="6F71800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42.9.4超过42.3、42.4规定质疑期发出的质疑。</w:t>
      </w:r>
    </w:p>
    <w:p w14:paraId="7F77B92A">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42.10采购代理机构或采购人不得拒收质疑投标人在法定质疑期内发出的质疑函，应当在收到质疑函后7个工作日内做出答复，并通过“山西政府采购平台”通知质疑投标人和其他有关投标人。</w:t>
      </w:r>
    </w:p>
    <w:p w14:paraId="615299D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42.11投标人对采购过程、中标结果提出质疑的，采购代理机构或采购人可以组织原评标委员会协助答复质疑。</w:t>
      </w:r>
    </w:p>
    <w:p w14:paraId="37E7231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42.12质疑答复应当包含以下内容：</w:t>
      </w:r>
    </w:p>
    <w:p w14:paraId="2A4628A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293502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42.13采购人、采购代理机构认为投标人质疑不成立，或者成立但未对中标结果构成影响的，继续开展采购活动；认为投标人质疑成立且影响或者可能影响中标结果的，按照下列情况处理：</w:t>
      </w:r>
    </w:p>
    <w:p w14:paraId="36C89B00">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42.13.1对招标文件提出的质疑，通过澄清或者修改可以继续开展采购活动；否则应当修改招标文件后重新开展活动。</w:t>
      </w:r>
    </w:p>
    <w:p w14:paraId="3F7DC322">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42.13.2对采购过程、中标结果提出的质疑，合格投标人符合规定数量时，可以从合格的中标候选人中另行确定中标人的，应当另行确定中标人；否则应当重新开展采购活动。</w:t>
      </w:r>
    </w:p>
    <w:p w14:paraId="2EB8C100">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质疑答复导致中标结果改变的，采购代理机构应当将有关情况书面报告相关部门。</w:t>
      </w:r>
    </w:p>
    <w:p w14:paraId="03D1A3A2">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42.14质疑投标人对采购人、采购代理机构的答复不满意，或者采购代理机构未在规定的时间内做出答复的，可以在答复期满后15个工作日内向相关部门投诉。</w:t>
      </w:r>
    </w:p>
    <w:p w14:paraId="5158027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42.15接收质疑函的联系方式：</w:t>
      </w:r>
    </w:p>
    <w:p w14:paraId="3CC5D190">
      <w:pPr>
        <w:snapToGrid w:val="0"/>
        <w:spacing w:line="360" w:lineRule="auto"/>
        <w:ind w:firstLine="480" w:firstLineChars="200"/>
        <w:rPr>
          <w:rFonts w:hint="eastAsia" w:ascii="Times New Roman" w:hAnsi="Times New Roman" w:eastAsia="宋体"/>
          <w:kern w:val="0"/>
          <w:sz w:val="24"/>
          <w:highlight w:val="none"/>
          <w:lang w:eastAsia="zh-CN"/>
        </w:rPr>
      </w:pPr>
      <w:bookmarkStart w:id="34" w:name="_Toc180347462"/>
      <w:r>
        <w:rPr>
          <w:rFonts w:ascii="Times New Roman" w:hAnsi="Times New Roman"/>
          <w:kern w:val="0"/>
          <w:sz w:val="24"/>
          <w:highlight w:val="none"/>
        </w:rPr>
        <w:t>联系单位：</w:t>
      </w:r>
      <w:r>
        <w:rPr>
          <w:rFonts w:hint="eastAsia" w:ascii="Times New Roman" w:hAnsi="Times New Roman"/>
          <w:kern w:val="0"/>
          <w:sz w:val="24"/>
          <w:highlight w:val="none"/>
          <w:lang w:eastAsia="zh-CN"/>
        </w:rPr>
        <w:t>山西晋鑫项目管理有限公司</w:t>
      </w:r>
    </w:p>
    <w:p w14:paraId="001C9A7E">
      <w:pPr>
        <w:snapToGrid w:val="0"/>
        <w:spacing w:line="360" w:lineRule="auto"/>
        <w:ind w:firstLine="480" w:firstLineChars="200"/>
        <w:rPr>
          <w:rFonts w:hint="eastAsia" w:ascii="Times New Roman" w:hAnsi="Times New Roman" w:eastAsia="宋体"/>
          <w:kern w:val="0"/>
          <w:sz w:val="24"/>
          <w:highlight w:val="none"/>
          <w:lang w:eastAsia="zh-CN"/>
        </w:rPr>
      </w:pPr>
      <w:r>
        <w:rPr>
          <w:rFonts w:ascii="Times New Roman" w:hAnsi="Times New Roman"/>
          <w:kern w:val="0"/>
          <w:sz w:val="24"/>
          <w:highlight w:val="none"/>
        </w:rPr>
        <w:t>单位地址：</w:t>
      </w:r>
      <w:r>
        <w:rPr>
          <w:rFonts w:hint="eastAsia" w:ascii="Times New Roman" w:hAnsi="Times New Roman"/>
          <w:kern w:val="0"/>
          <w:sz w:val="24"/>
          <w:highlight w:val="none"/>
          <w:lang w:eastAsia="zh-CN"/>
        </w:rPr>
        <w:t>山西省太原市万柏林区和平南路139号123幢2单元-1-1层0103号</w:t>
      </w:r>
    </w:p>
    <w:p w14:paraId="40C17EFD">
      <w:pPr>
        <w:keepNext/>
        <w:topLinePunct/>
        <w:adjustRightInd w:val="0"/>
        <w:snapToGrid w:val="0"/>
        <w:spacing w:line="360" w:lineRule="auto"/>
        <w:ind w:firstLine="480" w:firstLineChars="200"/>
        <w:outlineLvl w:val="9"/>
        <w:rPr>
          <w:rFonts w:hint="eastAsia" w:ascii="宋体" w:hAnsi="宋体" w:eastAsia="宋体" w:cs="宋体"/>
          <w:color w:val="auto"/>
          <w:kern w:val="0"/>
          <w:sz w:val="24"/>
          <w:highlight w:val="none"/>
        </w:rPr>
      </w:pPr>
      <w:r>
        <w:rPr>
          <w:rFonts w:ascii="Times New Roman" w:hAnsi="Times New Roman"/>
          <w:kern w:val="0"/>
          <w:sz w:val="24"/>
          <w:highlight w:val="none"/>
        </w:rPr>
        <w:t>联系电话：</w:t>
      </w:r>
      <w:r>
        <w:rPr>
          <w:rFonts w:hint="eastAsia" w:ascii="Times New Roman" w:hAnsi="Times New Roman"/>
          <w:kern w:val="0"/>
          <w:sz w:val="24"/>
          <w:highlight w:val="none"/>
          <w:lang w:eastAsia="zh-CN"/>
        </w:rPr>
        <w:t>13383578770</w:t>
      </w:r>
    </w:p>
    <w:p w14:paraId="2CB82824">
      <w:pPr>
        <w:keepNext/>
        <w:topLinePunc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十一、违法违规</w:t>
      </w:r>
      <w:bookmarkEnd w:id="33"/>
      <w:r>
        <w:rPr>
          <w:rFonts w:hint="eastAsia" w:ascii="宋体" w:hAnsi="宋体" w:eastAsia="宋体" w:cs="宋体"/>
          <w:b/>
          <w:color w:val="auto"/>
          <w:kern w:val="0"/>
          <w:sz w:val="24"/>
          <w:highlight w:val="none"/>
        </w:rPr>
        <w:t>行为</w:t>
      </w:r>
      <w:bookmarkEnd w:id="34"/>
    </w:p>
    <w:p w14:paraId="4A1A152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43.投标人违法违规行为：</w:t>
      </w:r>
    </w:p>
    <w:p w14:paraId="296386C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（1）向评标委员会成员行贿或者提供其他不正当收益的；</w:t>
      </w:r>
    </w:p>
    <w:p w14:paraId="7345806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（2）未按照采购文件确定的事项签订政府采购合同，或者与采购人另行订立背离合同实质性内容的协议的；</w:t>
      </w:r>
    </w:p>
    <w:p w14:paraId="17B7FF9F">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（3）中标后无正当理由拒不与采购人签订政府采购合同的；</w:t>
      </w:r>
    </w:p>
    <w:p w14:paraId="57262BC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（4）拒绝履行合同义务的；</w:t>
      </w:r>
    </w:p>
    <w:p w14:paraId="513EA33F">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（5）未按约定将政府采购合同分包、转包的；</w:t>
      </w:r>
    </w:p>
    <w:p w14:paraId="2E1978D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（6）擅自变更、中止或者终止政府采购合同的；</w:t>
      </w:r>
    </w:p>
    <w:p w14:paraId="60C8892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（7）提供假冒伪劣产品的；</w:t>
      </w:r>
    </w:p>
    <w:p w14:paraId="7A8FE6CD">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（8）在评审期间，投标人企图影响采购代理机构或评标委员会的任何活动的；</w:t>
      </w:r>
    </w:p>
    <w:p w14:paraId="6A1A0CC6">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（9）法律法规规定的其他违法违规行为。</w:t>
      </w:r>
    </w:p>
    <w:p w14:paraId="1ADE8A37">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44.采购人违法违规行为：</w:t>
      </w:r>
    </w:p>
    <w:p w14:paraId="0BF1F98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（1）以不合理条件对投标人实行差别待遇或者歧视待遇的；</w:t>
      </w:r>
    </w:p>
    <w:p w14:paraId="7B538C7F">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（2）与投标人恶意串通的；</w:t>
      </w:r>
    </w:p>
    <w:p w14:paraId="413C384E">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（3）中标通知书发出后不与中标人签订政府采购合同；</w:t>
      </w:r>
    </w:p>
    <w:p w14:paraId="563B79C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（4）未按照采购文件确定的事项签订政府采购合同，或者与中标人另行订立背离合同实质性内容的协议的；</w:t>
      </w:r>
    </w:p>
    <w:p w14:paraId="19FA2D9F">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（5）擅自变更、中止或者终止政府采购合同的；</w:t>
      </w:r>
    </w:p>
    <w:p w14:paraId="3D9F9442">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（6）在采购过程中接受贿赂或者获取不正当利益的；</w:t>
      </w:r>
    </w:p>
    <w:p w14:paraId="7805F566">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（7）在评审现场发表倾向性意见的；</w:t>
      </w:r>
    </w:p>
    <w:p w14:paraId="387537A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（8）泄露评审情况以及评审过程中获悉的国家秘密、商业秘密的；</w:t>
      </w:r>
    </w:p>
    <w:p w14:paraId="09817C01">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（9）未按规定将政府采购合同进行公示的；</w:t>
      </w:r>
    </w:p>
    <w:p w14:paraId="418C773D">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（10）法律法规规定的其他违法违规行为。</w:t>
      </w:r>
    </w:p>
    <w:p w14:paraId="46EA2261">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45.评标委员会及其成员违法违规行为：</w:t>
      </w:r>
    </w:p>
    <w:p w14:paraId="5C5E33ED">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（1）收受采购人、采购代理机构、投标人、其他利害关系人的财物或者其他不正当利益的；</w:t>
      </w:r>
    </w:p>
    <w:p w14:paraId="594CB3E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（2）泄露评审情况以及评审过程中获悉的国家秘密、商业秘密的；</w:t>
      </w:r>
    </w:p>
    <w:p w14:paraId="2312D4D1">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（3）明知与投标人有利害关系而不依法回避的；</w:t>
      </w:r>
    </w:p>
    <w:p w14:paraId="2FC4575C">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（4）在评审过程中擅离职守，影响评审程序正常进行的；</w:t>
      </w:r>
    </w:p>
    <w:p w14:paraId="33FFDBB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（5）在评审过程中有明显不合理或者不正当倾向的；</w:t>
      </w:r>
    </w:p>
    <w:p w14:paraId="5379D77C">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（6）未按招标文件规定的程序进行评审、评定的；</w:t>
      </w:r>
    </w:p>
    <w:p w14:paraId="5ADC924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（7）将未实质性响应招标文件要求的投标人的投标文件按实质性响应处理的；</w:t>
      </w:r>
    </w:p>
    <w:p w14:paraId="3E9FA7D0">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（8）对需要通过投标人澄清或者说明后可能成为实质性响应的投标文件，直接判定为未实质性响应，导致投标人失去投标机会的；</w:t>
      </w:r>
    </w:p>
    <w:p w14:paraId="768412B7">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（9）在评审现场发表倾向性意见或者征询采购人意见的；</w:t>
      </w:r>
    </w:p>
    <w:p w14:paraId="047DC39F">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（10）记录、复制或者带走任何评审资料的；</w:t>
      </w:r>
    </w:p>
    <w:p w14:paraId="1CB5790E">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（11）法律法规规定的其他违法违规行为。</w:t>
      </w:r>
    </w:p>
    <w:p w14:paraId="5FADDC24">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46.采购代理机构违法违规行为</w:t>
      </w:r>
    </w:p>
    <w:p w14:paraId="1C9B714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（1）未按照规定在指定媒体发布政府采购信息的；</w:t>
      </w:r>
    </w:p>
    <w:p w14:paraId="385E6CA6">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（2）未按规定组成评标委员会的；</w:t>
      </w:r>
    </w:p>
    <w:p w14:paraId="774D224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（3）泄露评审情况以及评审过程中获悉的国家秘密、商业秘密的；</w:t>
      </w:r>
    </w:p>
    <w:p w14:paraId="4A5AECA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（4）收受采购人、投标人、其他利害关系人的财物或者其他不正当利益的；</w:t>
      </w:r>
    </w:p>
    <w:p w14:paraId="09D88BA7">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（5）在评审过程发表倾向性言论的；</w:t>
      </w:r>
    </w:p>
    <w:p w14:paraId="7C730ED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（6）采购代理机构及其分支机构在所代理的项目中参与采购活动的或为拟参加所代理的项目的投标人提供咨询的；</w:t>
      </w:r>
    </w:p>
    <w:p w14:paraId="5F35B66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（7）未按规定对评审活动进行全程录音录像的；</w:t>
      </w:r>
    </w:p>
    <w:p w14:paraId="6ADCBCA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（8）擅自终止采购活动的；</w:t>
      </w:r>
    </w:p>
    <w:p w14:paraId="2D2E87BA">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（9）未按照规定对投标文件进行解密和组织评审的；</w:t>
      </w:r>
    </w:p>
    <w:p w14:paraId="1DEEDC2D">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（10）超规定收取采购代理服务费的；</w:t>
      </w:r>
    </w:p>
    <w:p w14:paraId="057A4AE2">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（11）未按照规定退还投标保证金的；</w:t>
      </w:r>
    </w:p>
    <w:p w14:paraId="72008604">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（12）违反规定进行重新评审或者重新组建评标委员会进行评审的；</w:t>
      </w:r>
    </w:p>
    <w:p w14:paraId="4F068ABE">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（13）开标前泄露已获取招标文件的潜在投标人的名称、数量或者其他可能影响公平竞争的有关采购活动情况的；</w:t>
      </w:r>
    </w:p>
    <w:p w14:paraId="44C773EF">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（14）未妥善保存采购文件的；</w:t>
      </w:r>
    </w:p>
    <w:p w14:paraId="17CFDB6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（15）法律法规规定的其他违法违规行为。</w:t>
      </w:r>
    </w:p>
    <w:p w14:paraId="5430B996">
      <w:pPr>
        <w:keepNext/>
        <w:topLinePunct/>
        <w:adjustRightInd w:val="0"/>
        <w:snapToGrid w:val="0"/>
        <w:spacing w:line="360" w:lineRule="auto"/>
        <w:ind w:firstLine="482" w:firstLineChars="200"/>
        <w:outlineLvl w:val="1"/>
        <w:rPr>
          <w:rFonts w:hint="eastAsia" w:ascii="宋体" w:hAnsi="宋体" w:eastAsia="宋体" w:cs="宋体"/>
          <w:b/>
          <w:color w:val="auto"/>
          <w:kern w:val="0"/>
          <w:sz w:val="24"/>
          <w:highlight w:val="none"/>
        </w:rPr>
      </w:pPr>
      <w:bookmarkStart w:id="35" w:name="_Toc180347463"/>
      <w:bookmarkStart w:id="36" w:name="_Toc29284"/>
      <w:r>
        <w:rPr>
          <w:rFonts w:hint="eastAsia" w:ascii="宋体" w:hAnsi="宋体" w:eastAsia="宋体" w:cs="宋体"/>
          <w:b/>
          <w:color w:val="auto"/>
          <w:kern w:val="0"/>
          <w:sz w:val="24"/>
          <w:highlight w:val="none"/>
        </w:rPr>
        <w:t>十二、政府采购政策性要求</w:t>
      </w:r>
      <w:bookmarkEnd w:id="35"/>
      <w:bookmarkEnd w:id="36"/>
    </w:p>
    <w:p w14:paraId="4A3A66F2">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47.进口货物及政策要求</w:t>
      </w:r>
    </w:p>
    <w:p w14:paraId="5B15D91F">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本招标文件中的采购标的，</w:t>
      </w:r>
      <w:r>
        <w:rPr>
          <w:rFonts w:hint="eastAsia" w:ascii="宋体" w:hAnsi="宋体" w:eastAsia="宋体" w:cs="宋体"/>
          <w:color w:val="auto"/>
          <w:sz w:val="24"/>
          <w:highlight w:val="none"/>
        </w:rPr>
        <w:t>未特别注明“允许进口产品”字样的，均必须采购国产产品，即非“通过中国海关报关验放进入中国境内且产自关境外的产品”，采购产品各项技术标准必须符合国家强制性标准。特别注明“允许进口产品”字样的，优先采购向我国企业转让技术、与我国企业签订消化吸收再创新方案的投标人的进口产品，如果有能够满足采购需求的国产产品参与，应当按照公平竞争的原则进行评审。</w:t>
      </w:r>
    </w:p>
    <w:p w14:paraId="2D641F3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48.国家强制产品</w:t>
      </w:r>
    </w:p>
    <w:p w14:paraId="70269F5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w:t>
      </w:r>
      <w:r>
        <w:rPr>
          <w:rFonts w:hint="eastAsia" w:ascii="宋体" w:hAnsi="宋体" w:eastAsia="宋体" w:cs="宋体"/>
          <w:b/>
          <w:color w:val="auto"/>
          <w:sz w:val="24"/>
          <w:highlight w:val="none"/>
        </w:rPr>
        <w:t>强制节能产品明细表</w:t>
      </w:r>
      <w:r>
        <w:rPr>
          <w:rFonts w:hint="eastAsia" w:ascii="宋体" w:hAnsi="宋体" w:eastAsia="宋体" w:cs="宋体"/>
          <w:color w:val="auto"/>
          <w:kern w:val="0"/>
          <w:sz w:val="24"/>
          <w:highlight w:val="none"/>
        </w:rPr>
        <w:t>》。</w:t>
      </w:r>
    </w:p>
    <w:p w14:paraId="7110E273">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49.</w:t>
      </w:r>
      <w:r>
        <w:rPr>
          <w:rFonts w:hint="eastAsia" w:ascii="宋体" w:hAnsi="宋体" w:eastAsia="宋体" w:cs="宋体"/>
          <w:color w:val="auto"/>
          <w:sz w:val="24"/>
          <w:highlight w:val="none"/>
        </w:rPr>
        <w:t>投报环境标志产品政府采购品目清单中的产品，需提供所投产品获得国家确定的认证机构出具的、处于有效期之内的环境标志产品认证证书和《</w:t>
      </w:r>
      <w:r>
        <w:rPr>
          <w:rFonts w:hint="eastAsia" w:ascii="宋体" w:hAnsi="宋体" w:eastAsia="宋体" w:cs="宋体"/>
          <w:b/>
          <w:color w:val="auto"/>
          <w:sz w:val="24"/>
          <w:highlight w:val="none"/>
        </w:rPr>
        <w:t>环境标志产品明细表</w:t>
      </w:r>
      <w:r>
        <w:rPr>
          <w:rFonts w:hint="eastAsia" w:ascii="宋体" w:hAnsi="宋体" w:eastAsia="宋体" w:cs="宋体"/>
          <w:color w:val="auto"/>
          <w:sz w:val="24"/>
          <w:highlight w:val="none"/>
        </w:rPr>
        <w:t>》。</w:t>
      </w:r>
    </w:p>
    <w:p w14:paraId="545C0C2E">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50.采购货物中如含有计算机，必须预装正版操作系统软件产品；项目中所采购的其它软件必须为正版软件。须提供《正版软件承诺》。</w:t>
      </w:r>
    </w:p>
    <w:p w14:paraId="7929695C">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021F7C4F">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52.中小微企业参加本项目：</w:t>
      </w:r>
    </w:p>
    <w:p w14:paraId="36B3974A">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7D689D8">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53．残疾人福利单位参加本项目：</w:t>
      </w:r>
    </w:p>
    <w:p w14:paraId="1F551A3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依据《三部门联合发布关于促进残疾人就业政府采购政策的通知》（财库[2017]141号）第三条规定，需提供《残疾人福利性单位声明函》。</w:t>
      </w:r>
    </w:p>
    <w:p w14:paraId="09CD0621">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54．监狱企业参加本项目：</w:t>
      </w:r>
    </w:p>
    <w:p w14:paraId="37F45CD1">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4F1431F3">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55.联合体参加本项目：</w:t>
      </w:r>
    </w:p>
    <w:p w14:paraId="487DC04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如本项目为接受大中型企业与小微企业组成联合体或者允许大中型企业向一家或者多家小微企业分包的采购项目，需提供《联合体投标协议书》。</w:t>
      </w:r>
    </w:p>
    <w:p w14:paraId="2B9CE3EA">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56.创新产品参加的项目</w:t>
      </w:r>
    </w:p>
    <w:p w14:paraId="3B4E085B">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投报根据《政府采购支持创新产品和服务实施细则》（晋财购【2019】19号）的产品，需在投标文件中提供《山西省创新产品和服务推荐清单》产品截图，并填写《创新产品或创新服务明细表》。</w:t>
      </w:r>
    </w:p>
    <w:p w14:paraId="3C3955D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57.商品包装和快递包装</w:t>
      </w:r>
    </w:p>
    <w:p w14:paraId="612132C7">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如所供货物均需按《商品包装政府采购需求标准（试行）》、《快递包装政府采购需求标准（试行）》（财办库〔2020〕123号）包装标准与保护措施进行包装，须出具《商品包装和快递包装承诺》。</w:t>
      </w:r>
    </w:p>
    <w:p w14:paraId="5C5B43AA">
      <w:pPr>
        <w:keepNext/>
        <w:ind w:firstLine="643"/>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249C1B8">
      <w:pPr>
        <w:keepNext/>
        <w:tabs>
          <w:tab w:val="left" w:pos="2070"/>
          <w:tab w:val="center" w:pos="4365"/>
        </w:tabs>
        <w:adjustRightInd w:val="0"/>
        <w:snapToGrid w:val="0"/>
        <w:spacing w:line="360" w:lineRule="auto"/>
        <w:ind w:firstLine="643"/>
        <w:jc w:val="center"/>
        <w:outlineLvl w:val="0"/>
        <w:rPr>
          <w:rFonts w:hint="eastAsia" w:ascii="宋体" w:hAnsi="宋体" w:eastAsia="宋体" w:cs="宋体"/>
          <w:b/>
          <w:color w:val="auto"/>
          <w:kern w:val="0"/>
          <w:sz w:val="32"/>
          <w:szCs w:val="32"/>
          <w:highlight w:val="none"/>
        </w:rPr>
      </w:pPr>
      <w:bookmarkStart w:id="37" w:name="_Toc180347464"/>
      <w:r>
        <w:rPr>
          <w:rFonts w:hint="eastAsia" w:ascii="宋体" w:hAnsi="宋体" w:eastAsia="宋体" w:cs="宋体"/>
          <w:b/>
          <w:color w:val="auto"/>
          <w:kern w:val="0"/>
          <w:sz w:val="32"/>
          <w:szCs w:val="32"/>
          <w:highlight w:val="none"/>
        </w:rPr>
        <w:t>第四部分  评审方法和评审标准</w:t>
      </w:r>
      <w:bookmarkEnd w:id="37"/>
    </w:p>
    <w:p w14:paraId="037CB5F0">
      <w:pPr>
        <w:keepNext/>
        <w:topLinePunct/>
        <w:adjustRightInd w:val="0"/>
        <w:snapToGrid w:val="0"/>
        <w:spacing w:line="360" w:lineRule="auto"/>
        <w:ind w:firstLine="482"/>
        <w:jc w:val="left"/>
        <w:outlineLvl w:val="1"/>
        <w:rPr>
          <w:rFonts w:hint="eastAsia" w:ascii="宋体" w:hAnsi="宋体" w:eastAsia="宋体" w:cs="宋体"/>
          <w:b/>
          <w:bCs/>
          <w:snapToGrid w:val="0"/>
          <w:color w:val="auto"/>
          <w:kern w:val="0"/>
          <w:sz w:val="24"/>
          <w:highlight w:val="none"/>
        </w:rPr>
      </w:pPr>
      <w:bookmarkStart w:id="38" w:name="_Toc180347465"/>
      <w:r>
        <w:rPr>
          <w:rFonts w:hint="eastAsia" w:ascii="宋体" w:hAnsi="宋体" w:eastAsia="宋体" w:cs="宋体"/>
          <w:b/>
          <w:bCs/>
          <w:snapToGrid w:val="0"/>
          <w:color w:val="auto"/>
          <w:kern w:val="0"/>
          <w:sz w:val="24"/>
          <w:highlight w:val="none"/>
        </w:rPr>
        <w:t>一、</w:t>
      </w:r>
      <w:r>
        <w:rPr>
          <w:rFonts w:hint="eastAsia" w:ascii="宋体" w:hAnsi="宋体" w:eastAsia="宋体" w:cs="宋体"/>
          <w:b/>
          <w:bCs/>
          <w:snapToGrid w:val="0"/>
          <w:color w:val="auto"/>
          <w:kern w:val="0"/>
          <w:sz w:val="24"/>
          <w:highlight w:val="none"/>
          <w:lang w:eastAsia="en-US"/>
        </w:rPr>
        <w:t>资格审查</w:t>
      </w:r>
      <w:bookmarkEnd w:id="38"/>
    </w:p>
    <w:tbl>
      <w:tblPr>
        <w:tblStyle w:val="20"/>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1210"/>
        <w:gridCol w:w="2550"/>
        <w:gridCol w:w="4974"/>
      </w:tblGrid>
      <w:tr w14:paraId="2552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blHeader/>
          <w:jc w:val="center"/>
        </w:trPr>
        <w:tc>
          <w:tcPr>
            <w:tcW w:w="595" w:type="dxa"/>
            <w:vAlign w:val="center"/>
          </w:tcPr>
          <w:p w14:paraId="001B5FE5">
            <w:pPr>
              <w:keepNext/>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10" w:type="dxa"/>
            <w:vAlign w:val="center"/>
          </w:tcPr>
          <w:p w14:paraId="0118FB78">
            <w:pPr>
              <w:keepNext/>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lang w:eastAsia="en-US"/>
              </w:rPr>
            </w:pPr>
            <w:r>
              <w:rPr>
                <w:rFonts w:hint="eastAsia" w:ascii="宋体" w:hAnsi="宋体" w:eastAsia="宋体" w:cs="宋体"/>
                <w:b/>
                <w:color w:val="auto"/>
                <w:sz w:val="24"/>
                <w:szCs w:val="24"/>
                <w:highlight w:val="none"/>
                <w:lang w:eastAsia="en-US"/>
              </w:rPr>
              <w:t>类型</w:t>
            </w:r>
          </w:p>
        </w:tc>
        <w:tc>
          <w:tcPr>
            <w:tcW w:w="2550" w:type="dxa"/>
            <w:vAlign w:val="center"/>
          </w:tcPr>
          <w:p w14:paraId="70005592">
            <w:pPr>
              <w:keepNext/>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lang w:eastAsia="en-US"/>
              </w:rPr>
            </w:pPr>
            <w:r>
              <w:rPr>
                <w:rFonts w:hint="eastAsia" w:ascii="宋体" w:hAnsi="宋体" w:eastAsia="宋体" w:cs="宋体"/>
                <w:b/>
                <w:color w:val="auto"/>
                <w:sz w:val="24"/>
                <w:szCs w:val="24"/>
                <w:highlight w:val="none"/>
                <w:lang w:eastAsia="en-US"/>
              </w:rPr>
              <w:t>审查要求</w:t>
            </w:r>
          </w:p>
        </w:tc>
        <w:tc>
          <w:tcPr>
            <w:tcW w:w="4974" w:type="dxa"/>
            <w:vAlign w:val="center"/>
          </w:tcPr>
          <w:p w14:paraId="64CF6EFD">
            <w:pPr>
              <w:keepNext/>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lang w:eastAsia="en-US"/>
              </w:rPr>
            </w:pPr>
            <w:r>
              <w:rPr>
                <w:rFonts w:hint="eastAsia" w:ascii="宋体" w:hAnsi="宋体" w:eastAsia="宋体" w:cs="宋体"/>
                <w:b/>
                <w:color w:val="auto"/>
                <w:sz w:val="24"/>
                <w:szCs w:val="24"/>
                <w:highlight w:val="none"/>
                <w:lang w:eastAsia="en-US"/>
              </w:rPr>
              <w:t>要求说明</w:t>
            </w:r>
          </w:p>
        </w:tc>
      </w:tr>
      <w:tr w14:paraId="71B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595" w:type="dxa"/>
            <w:vAlign w:val="center"/>
          </w:tcPr>
          <w:p w14:paraId="01B30F43">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w:t>
            </w:r>
          </w:p>
        </w:tc>
        <w:tc>
          <w:tcPr>
            <w:tcW w:w="1210" w:type="dxa"/>
            <w:vAlign w:val="center"/>
          </w:tcPr>
          <w:p w14:paraId="0B7F5EA3">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营业执照</w:t>
            </w:r>
          </w:p>
        </w:tc>
        <w:tc>
          <w:tcPr>
            <w:tcW w:w="2550" w:type="dxa"/>
            <w:vAlign w:val="center"/>
          </w:tcPr>
          <w:p w14:paraId="671542B1">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具有独立承担民事责任的能力</w:t>
            </w:r>
          </w:p>
        </w:tc>
        <w:tc>
          <w:tcPr>
            <w:tcW w:w="4974" w:type="dxa"/>
            <w:vAlign w:val="center"/>
          </w:tcPr>
          <w:p w14:paraId="61C0EF6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提供投标人信用承诺书。</w:t>
            </w:r>
          </w:p>
          <w:p w14:paraId="700A54B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以上证明材料须符合要求、有效、完整。否则，</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12BD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595" w:type="dxa"/>
            <w:vAlign w:val="center"/>
          </w:tcPr>
          <w:p w14:paraId="3498E047">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w:t>
            </w:r>
          </w:p>
        </w:tc>
        <w:tc>
          <w:tcPr>
            <w:tcW w:w="1210" w:type="dxa"/>
            <w:vAlign w:val="center"/>
          </w:tcPr>
          <w:p w14:paraId="7F5F95C8">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财务报告</w:t>
            </w:r>
          </w:p>
        </w:tc>
        <w:tc>
          <w:tcPr>
            <w:tcW w:w="2550" w:type="dxa"/>
            <w:vAlign w:val="center"/>
          </w:tcPr>
          <w:p w14:paraId="5355777A">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4974" w:type="dxa"/>
            <w:vAlign w:val="center"/>
          </w:tcPr>
          <w:p w14:paraId="6A1CAE0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提供投标人信用承诺书。</w:t>
            </w:r>
          </w:p>
          <w:p w14:paraId="4BF85D2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以上证明材料须符合要求、有效、完整。否则，</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5CB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595" w:type="dxa"/>
            <w:vAlign w:val="center"/>
          </w:tcPr>
          <w:p w14:paraId="0DBFFF9B">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3</w:t>
            </w:r>
          </w:p>
        </w:tc>
        <w:tc>
          <w:tcPr>
            <w:tcW w:w="1210" w:type="dxa"/>
            <w:vAlign w:val="center"/>
          </w:tcPr>
          <w:p w14:paraId="616E03D6">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基本资质</w:t>
            </w:r>
          </w:p>
        </w:tc>
        <w:tc>
          <w:tcPr>
            <w:tcW w:w="2550" w:type="dxa"/>
            <w:vAlign w:val="center"/>
          </w:tcPr>
          <w:p w14:paraId="5158794F">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4974" w:type="dxa"/>
            <w:vAlign w:val="center"/>
          </w:tcPr>
          <w:p w14:paraId="5768C6E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提供投标人信用承诺书。</w:t>
            </w:r>
          </w:p>
          <w:p w14:paraId="48FEAAE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以上证明材料须符合要求、有效、完整。否则，</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4A7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595" w:type="dxa"/>
            <w:vAlign w:val="center"/>
          </w:tcPr>
          <w:p w14:paraId="35BA407E">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4</w:t>
            </w:r>
          </w:p>
        </w:tc>
        <w:tc>
          <w:tcPr>
            <w:tcW w:w="1210" w:type="dxa"/>
            <w:vAlign w:val="center"/>
          </w:tcPr>
          <w:p w14:paraId="1DB654FF">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基本资质</w:t>
            </w:r>
          </w:p>
        </w:tc>
        <w:tc>
          <w:tcPr>
            <w:tcW w:w="2550" w:type="dxa"/>
            <w:vAlign w:val="center"/>
          </w:tcPr>
          <w:p w14:paraId="21F4FEF1">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4974" w:type="dxa"/>
            <w:vAlign w:val="center"/>
          </w:tcPr>
          <w:p w14:paraId="1F79078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提供投标人信用承诺书。</w:t>
            </w:r>
          </w:p>
          <w:p w14:paraId="5C6F64F5">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以上证明材料须符合要求、有效、完整。否则，</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7FD8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jc w:val="center"/>
        </w:trPr>
        <w:tc>
          <w:tcPr>
            <w:tcW w:w="595" w:type="dxa"/>
            <w:vAlign w:val="center"/>
          </w:tcPr>
          <w:p w14:paraId="77C79281">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5</w:t>
            </w:r>
          </w:p>
        </w:tc>
        <w:tc>
          <w:tcPr>
            <w:tcW w:w="1210" w:type="dxa"/>
            <w:vAlign w:val="center"/>
          </w:tcPr>
          <w:p w14:paraId="2C4FFCEF">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基本资质</w:t>
            </w:r>
          </w:p>
        </w:tc>
        <w:tc>
          <w:tcPr>
            <w:tcW w:w="2550" w:type="dxa"/>
            <w:vAlign w:val="center"/>
          </w:tcPr>
          <w:p w14:paraId="49556B88">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参加采购活动前三年内，在经营活动中没有重大违法记录</w:t>
            </w:r>
          </w:p>
        </w:tc>
        <w:tc>
          <w:tcPr>
            <w:tcW w:w="4974" w:type="dxa"/>
            <w:vAlign w:val="center"/>
          </w:tcPr>
          <w:p w14:paraId="4E08D21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提供投标人信用承诺书。</w:t>
            </w:r>
          </w:p>
          <w:p w14:paraId="3844EF8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以上证明材料须符合要求、有效、完整。否则，</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0F08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7" w:hRule="atLeast"/>
          <w:jc w:val="center"/>
        </w:trPr>
        <w:tc>
          <w:tcPr>
            <w:tcW w:w="595" w:type="dxa"/>
            <w:vAlign w:val="center"/>
          </w:tcPr>
          <w:p w14:paraId="7ADA91EF">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6</w:t>
            </w:r>
          </w:p>
        </w:tc>
        <w:tc>
          <w:tcPr>
            <w:tcW w:w="1210" w:type="dxa"/>
            <w:vAlign w:val="center"/>
          </w:tcPr>
          <w:p w14:paraId="46386B23">
            <w:pPr>
              <w:keepNext/>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基本资质</w:t>
            </w:r>
          </w:p>
        </w:tc>
        <w:tc>
          <w:tcPr>
            <w:tcW w:w="2550" w:type="dxa"/>
            <w:vAlign w:val="center"/>
          </w:tcPr>
          <w:p w14:paraId="0F88EA94">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对单位负责人为同一人或者存在直接控股、管理关系的不同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，不得参加同一合同项下的政府采购活动的承诺函</w:t>
            </w:r>
          </w:p>
        </w:tc>
        <w:tc>
          <w:tcPr>
            <w:tcW w:w="4974" w:type="dxa"/>
            <w:vAlign w:val="center"/>
          </w:tcPr>
          <w:p w14:paraId="315993F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6.1承诺函须根据</w:t>
            </w:r>
            <w:r>
              <w:rPr>
                <w:rFonts w:hint="eastAsia" w:ascii="宋体" w:hAnsi="宋体" w:cs="宋体"/>
                <w:color w:val="auto"/>
                <w:sz w:val="24"/>
                <w:highlight w:val="none"/>
              </w:rPr>
              <w:t>招标文件中的格式内容提供，内容须符合要求、完整、准确、真实、有效。</w:t>
            </w:r>
          </w:p>
          <w:p w14:paraId="04F3FE3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6.2承诺函须按</w:t>
            </w:r>
            <w:r>
              <w:rPr>
                <w:rFonts w:hint="eastAsia" w:ascii="宋体" w:hAnsi="宋体" w:eastAsia="宋体" w:cs="宋体"/>
                <w:color w:val="auto"/>
                <w:sz w:val="24"/>
                <w:szCs w:val="24"/>
                <w:highlight w:val="none"/>
                <w:lang w:val="en-US" w:eastAsia="zh-CN"/>
              </w:rPr>
              <w:t>找招标</w:t>
            </w:r>
            <w:r>
              <w:rPr>
                <w:rFonts w:hint="eastAsia" w:ascii="宋体" w:hAnsi="宋体" w:eastAsia="宋体" w:cs="宋体"/>
                <w:color w:val="auto"/>
                <w:sz w:val="24"/>
                <w:szCs w:val="24"/>
                <w:highlight w:val="none"/>
              </w:rPr>
              <w:t>文件要求签字、盖章。</w:t>
            </w:r>
          </w:p>
          <w:p w14:paraId="4B8EF5B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6.3不符合以上要求的或未提供的，</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24E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595" w:type="dxa"/>
            <w:vAlign w:val="center"/>
          </w:tcPr>
          <w:p w14:paraId="202360C1">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7</w:t>
            </w:r>
          </w:p>
        </w:tc>
        <w:tc>
          <w:tcPr>
            <w:tcW w:w="1210" w:type="dxa"/>
            <w:vAlign w:val="center"/>
          </w:tcPr>
          <w:p w14:paraId="2B7D23D9">
            <w:pPr>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基本资质</w:t>
            </w:r>
          </w:p>
        </w:tc>
        <w:tc>
          <w:tcPr>
            <w:tcW w:w="2550" w:type="dxa"/>
            <w:vAlign w:val="center"/>
          </w:tcPr>
          <w:p w14:paraId="29BE5A33">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对</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sz w:val="24"/>
                <w:szCs w:val="24"/>
                <w:highlight w:val="none"/>
              </w:rPr>
              <w:t>提供的廉洁自律承诺函审查</w:t>
            </w:r>
          </w:p>
        </w:tc>
        <w:tc>
          <w:tcPr>
            <w:tcW w:w="4974" w:type="dxa"/>
            <w:vAlign w:val="center"/>
          </w:tcPr>
          <w:p w14:paraId="015D7B9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7.1承诺函须根据</w:t>
            </w:r>
            <w:r>
              <w:rPr>
                <w:rFonts w:hint="eastAsia" w:ascii="宋体" w:hAnsi="宋体" w:cs="宋体"/>
                <w:color w:val="auto"/>
                <w:sz w:val="24"/>
                <w:highlight w:val="none"/>
              </w:rPr>
              <w:t>招标文件中的格式内容提供，内容须符合要求、完整、准确、真实、有效。</w:t>
            </w:r>
          </w:p>
          <w:p w14:paraId="348C07E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7.2承诺函须按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要求签字、盖章。</w:t>
            </w:r>
          </w:p>
          <w:p w14:paraId="7BD4F4D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7.3不符合以上要求的或未提供的，</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5F18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95" w:type="dxa"/>
            <w:vAlign w:val="center"/>
          </w:tcPr>
          <w:p w14:paraId="004CD678">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cs="宋体"/>
                <w:color w:val="auto"/>
                <w:sz w:val="24"/>
                <w:szCs w:val="24"/>
                <w:highlight w:val="none"/>
                <w:lang w:val="en-US" w:eastAsia="zh-CN"/>
              </w:rPr>
              <w:t>8</w:t>
            </w:r>
          </w:p>
        </w:tc>
        <w:tc>
          <w:tcPr>
            <w:tcW w:w="1210" w:type="dxa"/>
            <w:vAlign w:val="center"/>
          </w:tcPr>
          <w:p w14:paraId="39BC871C">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特定资质</w:t>
            </w:r>
          </w:p>
        </w:tc>
        <w:tc>
          <w:tcPr>
            <w:tcW w:w="2550" w:type="dxa"/>
            <w:vAlign w:val="center"/>
          </w:tcPr>
          <w:p w14:paraId="518BFEE3">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tc>
        <w:tc>
          <w:tcPr>
            <w:tcW w:w="4974" w:type="dxa"/>
            <w:vAlign w:val="center"/>
          </w:tcPr>
          <w:p w14:paraId="144C747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.1特殊要求证明材料须按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各包要求提供。</w:t>
            </w:r>
          </w:p>
          <w:p w14:paraId="6BF39D8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2特殊要求证明材料须完整、有效。</w:t>
            </w:r>
          </w:p>
          <w:p w14:paraId="3589F36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.3特殊要求证明材料须按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要求加盖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p>
          <w:p w14:paraId="463D770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.4不符合以上要求的或未提供的，</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130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595" w:type="dxa"/>
            <w:vAlign w:val="center"/>
          </w:tcPr>
          <w:p w14:paraId="0375E2CE">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sz w:val="24"/>
                <w:szCs w:val="24"/>
                <w:highlight w:val="none"/>
                <w:lang w:val="en-US" w:eastAsia="zh-CN"/>
              </w:rPr>
              <w:t>9</w:t>
            </w:r>
          </w:p>
        </w:tc>
        <w:tc>
          <w:tcPr>
            <w:tcW w:w="1210" w:type="dxa"/>
            <w:vAlign w:val="center"/>
          </w:tcPr>
          <w:p w14:paraId="702C91E4">
            <w:pPr>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基本资质</w:t>
            </w:r>
          </w:p>
        </w:tc>
        <w:tc>
          <w:tcPr>
            <w:tcW w:w="2550" w:type="dxa"/>
            <w:vAlign w:val="center"/>
          </w:tcPr>
          <w:p w14:paraId="5D3FEA96">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提交的</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保证金凭据进行审查</w:t>
            </w:r>
          </w:p>
        </w:tc>
        <w:tc>
          <w:tcPr>
            <w:tcW w:w="4974" w:type="dxa"/>
            <w:vAlign w:val="center"/>
          </w:tcPr>
          <w:p w14:paraId="49EF18C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.1保证金凭据</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时间须在递交</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文件截止时间前。</w:t>
            </w:r>
          </w:p>
          <w:p w14:paraId="54C349A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.2保证金金额须符合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文件各包要求。</w:t>
            </w:r>
          </w:p>
          <w:p w14:paraId="3CAB04B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保证金须按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文件要求</w:t>
            </w:r>
            <w:r>
              <w:rPr>
                <w:rFonts w:hint="eastAsia" w:ascii="宋体" w:hAnsi="宋体" w:eastAsia="宋体" w:cs="宋体"/>
                <w:color w:val="auto"/>
                <w:sz w:val="24"/>
                <w:szCs w:val="24"/>
                <w:highlight w:val="none"/>
              </w:rPr>
              <w:t>提交。</w:t>
            </w:r>
          </w:p>
          <w:p w14:paraId="5EF9B79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.4不符合以上要求的或未提供的，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无效。</w:t>
            </w:r>
          </w:p>
        </w:tc>
      </w:tr>
    </w:tbl>
    <w:p w14:paraId="354B23ED">
      <w:pPr>
        <w:bidi w:val="0"/>
        <w:rPr>
          <w:rFonts w:hint="eastAsia" w:ascii="宋体" w:hAnsi="宋体" w:eastAsia="宋体" w:cs="宋体"/>
          <w:color w:val="auto"/>
          <w:highlight w:val="none"/>
        </w:rPr>
      </w:pPr>
    </w:p>
    <w:p w14:paraId="144B1C9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639DC8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除上述内容外，投标人提供的其他材料，不作为资格审查的内容。</w:t>
      </w:r>
    </w:p>
    <w:p w14:paraId="79A5ACDB">
      <w:pPr>
        <w:rPr>
          <w:rFonts w:hint="eastAsia" w:ascii="宋体" w:hAnsi="宋体" w:eastAsia="宋体" w:cs="宋体"/>
          <w:b/>
          <w:bCs/>
          <w:snapToGrid w:val="0"/>
          <w:color w:val="auto"/>
          <w:kern w:val="0"/>
          <w:sz w:val="24"/>
          <w:highlight w:val="none"/>
        </w:rPr>
      </w:pPr>
      <w:bookmarkStart w:id="39" w:name="_Toc180347466"/>
      <w:r>
        <w:rPr>
          <w:rFonts w:hint="eastAsia" w:ascii="宋体" w:hAnsi="宋体" w:eastAsia="宋体" w:cs="宋体"/>
          <w:b/>
          <w:bCs/>
          <w:snapToGrid w:val="0"/>
          <w:color w:val="auto"/>
          <w:kern w:val="0"/>
          <w:sz w:val="24"/>
          <w:highlight w:val="none"/>
        </w:rPr>
        <w:br w:type="page"/>
      </w:r>
    </w:p>
    <w:p w14:paraId="29FD76B5">
      <w:pPr>
        <w:keepNext/>
        <w:topLinePunct/>
        <w:adjustRightInd w:val="0"/>
        <w:snapToGrid w:val="0"/>
        <w:spacing w:line="360" w:lineRule="auto"/>
        <w:ind w:firstLine="482"/>
        <w:jc w:val="left"/>
        <w:outlineLvl w:val="1"/>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二、符合性审查</w:t>
      </w:r>
      <w:bookmarkEnd w:id="39"/>
    </w:p>
    <w:tbl>
      <w:tblPr>
        <w:tblStyle w:val="20"/>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323"/>
        <w:gridCol w:w="2216"/>
        <w:gridCol w:w="5265"/>
      </w:tblGrid>
      <w:tr w14:paraId="5E0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952" w:type="dxa"/>
            <w:vAlign w:val="center"/>
          </w:tcPr>
          <w:p w14:paraId="6807FED1">
            <w:pPr>
              <w:keepNext/>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序号</w:t>
            </w:r>
          </w:p>
        </w:tc>
        <w:tc>
          <w:tcPr>
            <w:tcW w:w="1323" w:type="dxa"/>
            <w:vAlign w:val="center"/>
          </w:tcPr>
          <w:p w14:paraId="0A52F26B">
            <w:pPr>
              <w:keepNext/>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类型</w:t>
            </w:r>
          </w:p>
        </w:tc>
        <w:tc>
          <w:tcPr>
            <w:tcW w:w="2216" w:type="dxa"/>
            <w:vAlign w:val="center"/>
          </w:tcPr>
          <w:p w14:paraId="4C94C54F">
            <w:pPr>
              <w:keepNext/>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审查要求</w:t>
            </w:r>
          </w:p>
        </w:tc>
        <w:tc>
          <w:tcPr>
            <w:tcW w:w="5265" w:type="dxa"/>
            <w:vAlign w:val="center"/>
          </w:tcPr>
          <w:p w14:paraId="242E0590">
            <w:pPr>
              <w:keepNext/>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要求说明</w:t>
            </w:r>
          </w:p>
        </w:tc>
      </w:tr>
      <w:tr w14:paraId="24AA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952" w:type="dxa"/>
            <w:vAlign w:val="center"/>
          </w:tcPr>
          <w:p w14:paraId="7C6C82D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w:t>
            </w:r>
          </w:p>
        </w:tc>
        <w:tc>
          <w:tcPr>
            <w:tcW w:w="1323" w:type="dxa"/>
            <w:vAlign w:val="center"/>
          </w:tcPr>
          <w:p w14:paraId="3C5E9B8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商务</w:t>
            </w:r>
          </w:p>
        </w:tc>
        <w:tc>
          <w:tcPr>
            <w:tcW w:w="2216" w:type="dxa"/>
            <w:vAlign w:val="center"/>
          </w:tcPr>
          <w:p w14:paraId="28ECD179">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提供的法定代表人（负责人）身份证明文件进行审查</w:t>
            </w:r>
          </w:p>
        </w:tc>
        <w:tc>
          <w:tcPr>
            <w:tcW w:w="5265" w:type="dxa"/>
            <w:vAlign w:val="center"/>
          </w:tcPr>
          <w:p w14:paraId="2C215EB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1.1证明文件须根据招标文件中的格式内容提供，内容须符合要求、完整、准确、真实、有效。</w:t>
            </w:r>
          </w:p>
          <w:p w14:paraId="177C032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1.2证明文件须按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要求签字、盖章。</w:t>
            </w:r>
          </w:p>
          <w:p w14:paraId="13F4732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1.3不符合以上要求的或未提供的，</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5E43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52" w:type="dxa"/>
            <w:vAlign w:val="center"/>
          </w:tcPr>
          <w:p w14:paraId="25A813F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w:t>
            </w:r>
          </w:p>
        </w:tc>
        <w:tc>
          <w:tcPr>
            <w:tcW w:w="1323" w:type="dxa"/>
            <w:vAlign w:val="center"/>
          </w:tcPr>
          <w:p w14:paraId="52DA2F6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商务</w:t>
            </w:r>
          </w:p>
        </w:tc>
        <w:tc>
          <w:tcPr>
            <w:tcW w:w="2216" w:type="dxa"/>
            <w:vAlign w:val="center"/>
          </w:tcPr>
          <w:p w14:paraId="12AF02D2">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提供的法定代表人（负责人）授权委托书证明文件进行审查</w:t>
            </w:r>
          </w:p>
        </w:tc>
        <w:tc>
          <w:tcPr>
            <w:tcW w:w="5265" w:type="dxa"/>
            <w:vAlign w:val="center"/>
          </w:tcPr>
          <w:p w14:paraId="68527F0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2.1证明文件须</w:t>
            </w:r>
            <w:r>
              <w:rPr>
                <w:rFonts w:hint="eastAsia" w:ascii="宋体" w:hAnsi="宋体" w:cs="宋体"/>
                <w:color w:val="auto"/>
                <w:sz w:val="24"/>
                <w:highlight w:val="none"/>
              </w:rPr>
              <w:t>根据招标文件中的格式内容提供，内容须符合要求、完整、准确、真实、有效。</w:t>
            </w:r>
          </w:p>
          <w:p w14:paraId="1A8538F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2.2证明文件须按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要求签字、盖章。</w:t>
            </w:r>
          </w:p>
          <w:p w14:paraId="7D216E4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2.3不符合以上要求的或未提供的，</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2CBB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52" w:type="dxa"/>
            <w:vAlign w:val="center"/>
          </w:tcPr>
          <w:p w14:paraId="2956EA6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3</w:t>
            </w:r>
          </w:p>
        </w:tc>
        <w:tc>
          <w:tcPr>
            <w:tcW w:w="1323" w:type="dxa"/>
            <w:vAlign w:val="center"/>
          </w:tcPr>
          <w:p w14:paraId="4BAE91B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商务</w:t>
            </w:r>
          </w:p>
        </w:tc>
        <w:tc>
          <w:tcPr>
            <w:tcW w:w="2216" w:type="dxa"/>
            <w:vAlign w:val="center"/>
          </w:tcPr>
          <w:p w14:paraId="29D02F5A">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投标函</w:t>
            </w:r>
            <w:r>
              <w:rPr>
                <w:rFonts w:hint="eastAsia" w:ascii="宋体" w:hAnsi="宋体" w:eastAsia="宋体" w:cs="宋体"/>
                <w:color w:val="auto"/>
                <w:sz w:val="24"/>
                <w:szCs w:val="24"/>
                <w:highlight w:val="none"/>
              </w:rPr>
              <w:t>进行审查</w:t>
            </w:r>
          </w:p>
        </w:tc>
        <w:tc>
          <w:tcPr>
            <w:tcW w:w="5265" w:type="dxa"/>
            <w:vAlign w:val="center"/>
          </w:tcPr>
          <w:p w14:paraId="7AB7602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投标函</w:t>
            </w:r>
            <w:r>
              <w:rPr>
                <w:rFonts w:hint="eastAsia" w:ascii="宋体" w:hAnsi="宋体" w:eastAsia="宋体" w:cs="宋体"/>
                <w:color w:val="auto"/>
                <w:sz w:val="24"/>
                <w:szCs w:val="24"/>
                <w:highlight w:val="none"/>
              </w:rPr>
              <w:t>须</w:t>
            </w:r>
            <w:r>
              <w:rPr>
                <w:rFonts w:hint="eastAsia" w:ascii="宋体" w:hAnsi="宋体" w:cs="宋体"/>
                <w:color w:val="auto"/>
                <w:sz w:val="24"/>
                <w:highlight w:val="none"/>
              </w:rPr>
              <w:t>根据招标文件中的格式内容提供，内容须符合要求、完整、准确、真实、有效。</w:t>
            </w:r>
          </w:p>
          <w:p w14:paraId="191D7C6C">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投标函</w:t>
            </w:r>
            <w:r>
              <w:rPr>
                <w:rFonts w:hint="eastAsia" w:ascii="宋体" w:hAnsi="宋体" w:eastAsia="宋体" w:cs="宋体"/>
                <w:color w:val="auto"/>
                <w:sz w:val="24"/>
                <w:szCs w:val="24"/>
                <w:highlight w:val="none"/>
              </w:rPr>
              <w:t>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要求签字、盖章。</w:t>
            </w:r>
          </w:p>
          <w:p w14:paraId="062FA619">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3.3不符合以上要求的或未提供的，</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5D50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52" w:type="dxa"/>
            <w:vAlign w:val="center"/>
          </w:tcPr>
          <w:p w14:paraId="06D0FB4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4</w:t>
            </w:r>
          </w:p>
        </w:tc>
        <w:tc>
          <w:tcPr>
            <w:tcW w:w="1323" w:type="dxa"/>
            <w:vAlign w:val="center"/>
          </w:tcPr>
          <w:p w14:paraId="1EAB50D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报价</w:t>
            </w:r>
          </w:p>
        </w:tc>
        <w:tc>
          <w:tcPr>
            <w:tcW w:w="2216" w:type="dxa"/>
            <w:vAlign w:val="center"/>
          </w:tcPr>
          <w:p w14:paraId="70926BC1">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一览表</w:t>
            </w:r>
            <w:r>
              <w:rPr>
                <w:rFonts w:hint="eastAsia" w:ascii="宋体" w:hAnsi="宋体" w:cs="宋体"/>
                <w:snapToGrid w:val="0"/>
                <w:color w:val="auto"/>
                <w:kern w:val="0"/>
                <w:sz w:val="24"/>
                <w:highlight w:val="none"/>
                <w:lang w:eastAsia="zh-CN"/>
              </w:rPr>
              <w:t>、</w:t>
            </w:r>
            <w:r>
              <w:rPr>
                <w:rFonts w:hint="eastAsia" w:ascii="宋体" w:hAnsi="宋体" w:cs="宋体"/>
                <w:color w:val="auto"/>
                <w:sz w:val="24"/>
                <w:highlight w:val="none"/>
              </w:rPr>
              <w:t>分项报价表（若要求）</w:t>
            </w:r>
            <w:r>
              <w:rPr>
                <w:rFonts w:hint="eastAsia" w:ascii="宋体" w:hAnsi="宋体" w:eastAsia="宋体" w:cs="宋体"/>
                <w:color w:val="auto"/>
                <w:sz w:val="24"/>
                <w:szCs w:val="24"/>
                <w:highlight w:val="none"/>
              </w:rPr>
              <w:t>进行审查</w:t>
            </w:r>
          </w:p>
        </w:tc>
        <w:tc>
          <w:tcPr>
            <w:tcW w:w="5265" w:type="dxa"/>
            <w:vAlign w:val="center"/>
          </w:tcPr>
          <w:p w14:paraId="23907ED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一览表须</w:t>
            </w:r>
            <w:r>
              <w:rPr>
                <w:rFonts w:hint="eastAsia" w:ascii="宋体" w:hAnsi="宋体" w:cs="宋体"/>
                <w:color w:val="auto"/>
                <w:sz w:val="24"/>
                <w:highlight w:val="none"/>
              </w:rPr>
              <w:t>根据招标文件中的格式内容提供，内容须符合要求、完整、准确、无漏项、无缺项、无可选择或可调整报价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分项报价表填报的标的名称、数量应与招标文件中的标的名称、数量一致。</w:t>
            </w:r>
          </w:p>
          <w:p w14:paraId="6E1496F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一览表须按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要求签字、盖章。</w:t>
            </w:r>
          </w:p>
          <w:p w14:paraId="05C45BB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4.3不符合以上要求的，</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00F0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952" w:type="dxa"/>
            <w:vAlign w:val="center"/>
          </w:tcPr>
          <w:p w14:paraId="0D4BAB5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5</w:t>
            </w:r>
          </w:p>
        </w:tc>
        <w:tc>
          <w:tcPr>
            <w:tcW w:w="1323" w:type="dxa"/>
            <w:vAlign w:val="center"/>
          </w:tcPr>
          <w:p w14:paraId="145A103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商务</w:t>
            </w:r>
          </w:p>
        </w:tc>
        <w:tc>
          <w:tcPr>
            <w:tcW w:w="2216" w:type="dxa"/>
            <w:vAlign w:val="center"/>
          </w:tcPr>
          <w:p w14:paraId="0620ABC6">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cs="宋体"/>
                <w:color w:val="auto"/>
                <w:sz w:val="24"/>
                <w:szCs w:val="24"/>
                <w:highlight w:val="none"/>
                <w:lang w:eastAsia="zh-CN"/>
              </w:rPr>
              <w:t>投标文件商务响应表</w:t>
            </w:r>
            <w:r>
              <w:rPr>
                <w:rFonts w:hint="eastAsia" w:ascii="宋体" w:hAnsi="宋体" w:eastAsia="宋体" w:cs="宋体"/>
                <w:color w:val="auto"/>
                <w:sz w:val="24"/>
                <w:szCs w:val="24"/>
                <w:highlight w:val="none"/>
              </w:rPr>
              <w:t>的响应情况进行审查</w:t>
            </w:r>
          </w:p>
        </w:tc>
        <w:tc>
          <w:tcPr>
            <w:tcW w:w="5265" w:type="dxa"/>
            <w:vAlign w:val="center"/>
          </w:tcPr>
          <w:p w14:paraId="64849745">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5.1响应表须</w:t>
            </w:r>
            <w:r>
              <w:rPr>
                <w:rFonts w:hint="eastAsia" w:ascii="宋体" w:hAnsi="宋体" w:cs="宋体"/>
                <w:color w:val="auto"/>
                <w:sz w:val="24"/>
                <w:highlight w:val="none"/>
              </w:rPr>
              <w:t>根据招标文件中的格式内容提供，内容须符合要求、完整、准确、真实、无漏项、无缺项</w:t>
            </w:r>
            <w:r>
              <w:rPr>
                <w:rFonts w:hint="eastAsia" w:ascii="宋体" w:hAnsi="宋体" w:cs="宋体"/>
                <w:color w:val="auto"/>
                <w:sz w:val="24"/>
                <w:highlight w:val="none"/>
                <w:lang w:eastAsia="zh-CN"/>
              </w:rPr>
              <w:t>。</w:t>
            </w:r>
          </w:p>
          <w:p w14:paraId="083D4789">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5.2响应表须按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要求签字、盖章。</w:t>
            </w:r>
          </w:p>
          <w:p w14:paraId="35355E4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第五部分的各包的商务要求全部做出实质性响应。</w:t>
            </w:r>
          </w:p>
          <w:p w14:paraId="5B0E116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5.4不符合以上要求的或未提供的，</w:t>
            </w:r>
            <w:r>
              <w:rPr>
                <w:rFonts w:hint="eastAsia" w:ascii="宋体" w:hAnsi="宋体" w:eastAsia="宋体" w:cs="宋体"/>
                <w:color w:val="auto"/>
                <w:sz w:val="24"/>
                <w:szCs w:val="24"/>
                <w:highlight w:val="none"/>
                <w:lang w:eastAsia="zh-CN"/>
              </w:rPr>
              <w:t>投标无效</w:t>
            </w:r>
            <w:r>
              <w:rPr>
                <w:rFonts w:hint="eastAsia" w:ascii="宋体" w:hAnsi="宋体" w:eastAsia="宋体" w:cs="宋体"/>
                <w:color w:val="auto"/>
                <w:sz w:val="24"/>
                <w:szCs w:val="24"/>
                <w:highlight w:val="none"/>
              </w:rPr>
              <w:t>。</w:t>
            </w:r>
          </w:p>
        </w:tc>
      </w:tr>
      <w:tr w14:paraId="20E9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52" w:type="dxa"/>
            <w:vAlign w:val="center"/>
          </w:tcPr>
          <w:p w14:paraId="1734D4A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6</w:t>
            </w:r>
          </w:p>
        </w:tc>
        <w:tc>
          <w:tcPr>
            <w:tcW w:w="1323" w:type="dxa"/>
            <w:vAlign w:val="center"/>
          </w:tcPr>
          <w:p w14:paraId="5D27D3B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技术</w:t>
            </w:r>
          </w:p>
        </w:tc>
        <w:tc>
          <w:tcPr>
            <w:tcW w:w="2216" w:type="dxa"/>
            <w:vAlign w:val="center"/>
          </w:tcPr>
          <w:p w14:paraId="1FEFB3E4">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cs="宋体"/>
                <w:color w:val="auto"/>
                <w:sz w:val="24"/>
                <w:szCs w:val="24"/>
                <w:highlight w:val="none"/>
                <w:lang w:eastAsia="zh-CN"/>
              </w:rPr>
              <w:t>投标文件技术响应表</w:t>
            </w:r>
            <w:r>
              <w:rPr>
                <w:rFonts w:hint="eastAsia" w:ascii="宋体" w:hAnsi="宋体" w:eastAsia="宋体" w:cs="宋体"/>
                <w:color w:val="auto"/>
                <w:sz w:val="24"/>
                <w:szCs w:val="24"/>
                <w:highlight w:val="none"/>
              </w:rPr>
              <w:t>的响应情况进行审查</w:t>
            </w:r>
          </w:p>
        </w:tc>
        <w:tc>
          <w:tcPr>
            <w:tcW w:w="5265" w:type="dxa"/>
            <w:vAlign w:val="center"/>
          </w:tcPr>
          <w:p w14:paraId="1004526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cs="宋体"/>
                <w:color w:val="auto"/>
                <w:sz w:val="24"/>
                <w:szCs w:val="24"/>
                <w:highlight w:val="none"/>
                <w:lang w:eastAsia="zh-CN"/>
              </w:rPr>
              <w:t>投标文件技术响应表</w:t>
            </w:r>
            <w:r>
              <w:rPr>
                <w:rFonts w:hint="eastAsia" w:ascii="宋体" w:hAnsi="宋体" w:eastAsia="宋体" w:cs="宋体"/>
                <w:color w:val="auto"/>
                <w:sz w:val="24"/>
                <w:szCs w:val="24"/>
                <w:highlight w:val="none"/>
              </w:rPr>
              <w:t>须</w:t>
            </w:r>
            <w:r>
              <w:rPr>
                <w:rFonts w:hint="eastAsia" w:ascii="宋体" w:hAnsi="宋体" w:cs="宋体"/>
                <w:color w:val="auto"/>
                <w:sz w:val="24"/>
                <w:highlight w:val="none"/>
              </w:rPr>
              <w:t>根据招标文件中的格式内容提供，内容须符合要求、完整、准确、真实、无漏项、无缺项</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en-US" w:eastAsia="zh-CN"/>
              </w:rPr>
              <w:t>填报标的名称、数量应与招标文件中的标的名称、数量一致</w:t>
            </w:r>
            <w:r>
              <w:rPr>
                <w:rFonts w:hint="eastAsia" w:ascii="宋体" w:hAnsi="宋体" w:eastAsia="宋体" w:cs="宋体"/>
                <w:color w:val="auto"/>
                <w:sz w:val="24"/>
                <w:szCs w:val="24"/>
                <w:highlight w:val="none"/>
              </w:rPr>
              <w:t>。</w:t>
            </w:r>
          </w:p>
          <w:p w14:paraId="56F1654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cs="宋体"/>
                <w:color w:val="auto"/>
                <w:sz w:val="24"/>
                <w:szCs w:val="24"/>
                <w:highlight w:val="none"/>
                <w:lang w:eastAsia="zh-CN"/>
              </w:rPr>
              <w:t>投标文件技术响应表</w:t>
            </w:r>
            <w:r>
              <w:rPr>
                <w:rFonts w:hint="eastAsia" w:ascii="宋体" w:hAnsi="宋体" w:eastAsia="宋体" w:cs="宋体"/>
                <w:color w:val="auto"/>
                <w:sz w:val="24"/>
                <w:szCs w:val="24"/>
                <w:highlight w:val="none"/>
              </w:rPr>
              <w:t>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要求签字、盖章。</w:t>
            </w:r>
          </w:p>
          <w:p w14:paraId="7970374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第五部分各包“技术要求”中的内容作出实质性响应。</w:t>
            </w:r>
          </w:p>
          <w:p w14:paraId="6EF7906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6.4不符合以上要求的，或负偏离响应内容经</w:t>
            </w:r>
            <w:r>
              <w:rPr>
                <w:rFonts w:hint="eastAsia" w:ascii="宋体" w:hAnsi="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共同认定属重大技术负偏离的，或未提供偏离表的，响应均无效。</w:t>
            </w:r>
          </w:p>
        </w:tc>
      </w:tr>
      <w:tr w14:paraId="6B5D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52" w:type="dxa"/>
            <w:vAlign w:val="center"/>
          </w:tcPr>
          <w:p w14:paraId="6F767F9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23" w:type="dxa"/>
            <w:vAlign w:val="center"/>
          </w:tcPr>
          <w:p w14:paraId="2E6DCC3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w:t>
            </w:r>
          </w:p>
        </w:tc>
        <w:tc>
          <w:tcPr>
            <w:tcW w:w="2216" w:type="dxa"/>
            <w:vAlign w:val="center"/>
          </w:tcPr>
          <w:p w14:paraId="544C47B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政策性要求</w:t>
            </w:r>
          </w:p>
        </w:tc>
        <w:tc>
          <w:tcPr>
            <w:tcW w:w="5265" w:type="dxa"/>
            <w:vAlign w:val="center"/>
          </w:tcPr>
          <w:p w14:paraId="0725823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提供响应政策性要求证明材料</w:t>
            </w:r>
          </w:p>
          <w:p w14:paraId="0DDBB13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以上材料须根据</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文件中的格式提供（未提供格式的自拟），内容须符合要求、完整、准确、真实、无漏项、无缺项。否则，响应无效。</w:t>
            </w:r>
          </w:p>
        </w:tc>
      </w:tr>
      <w:tr w14:paraId="2317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52" w:type="dxa"/>
            <w:vAlign w:val="center"/>
          </w:tcPr>
          <w:p w14:paraId="324BE86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323" w:type="dxa"/>
            <w:vAlign w:val="center"/>
          </w:tcPr>
          <w:p w14:paraId="614013F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w:t>
            </w:r>
          </w:p>
        </w:tc>
        <w:tc>
          <w:tcPr>
            <w:tcW w:w="2216" w:type="dxa"/>
            <w:vAlign w:val="center"/>
          </w:tcPr>
          <w:p w14:paraId="45C1C40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对投标文件中商务部分封面的审核</w:t>
            </w:r>
          </w:p>
        </w:tc>
        <w:tc>
          <w:tcPr>
            <w:tcW w:w="5265" w:type="dxa"/>
            <w:vAlign w:val="center"/>
          </w:tcPr>
          <w:p w14:paraId="57C7FA0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投标文件封面应符合招标文件要求。</w:t>
            </w:r>
          </w:p>
          <w:p w14:paraId="6D34B2F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05" w:left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否则，投标无效。</w:t>
            </w:r>
          </w:p>
        </w:tc>
      </w:tr>
    </w:tbl>
    <w:p w14:paraId="6FE52EB6">
      <w:pPr>
        <w:keepNext w:val="0"/>
        <w:keepLines w:val="0"/>
        <w:pageBreakBefore w:val="0"/>
        <w:widowControl w:val="0"/>
        <w:kinsoku/>
        <w:wordWrap/>
        <w:overflowPunct/>
        <w:topLinePunct/>
        <w:autoSpaceDE/>
        <w:autoSpaceDN/>
        <w:bidi w:val="0"/>
        <w:adjustRightInd w:val="0"/>
        <w:snapToGrid w:val="0"/>
        <w:spacing w:before="120" w:beforeLines="50"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945987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1.符合性审查的内容，经评标委员会成员按照少数服从多数的原则，确定其没有做出实质性、符合性响应的，将导致投标无效。</w:t>
      </w:r>
    </w:p>
    <w:p w14:paraId="0D4E4F2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2.投标文件中项目名称、项目编号等存在前后不一致情形的，可按照招标文件要求做出澄清；如投标文件中所涉及内容全部与招标文件不一致，按无效投标处理。</w:t>
      </w:r>
    </w:p>
    <w:p w14:paraId="5A0C8D7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color w:val="auto"/>
          <w:kern w:val="0"/>
          <w:sz w:val="24"/>
          <w:highlight w:val="none"/>
        </w:rPr>
      </w:pPr>
      <w:bookmarkStart w:id="40" w:name="_Toc180347467"/>
      <w:r>
        <w:rPr>
          <w:rFonts w:hint="eastAsia" w:ascii="宋体" w:hAnsi="宋体" w:eastAsia="宋体" w:cs="宋体"/>
          <w:b/>
          <w:color w:val="auto"/>
          <w:kern w:val="0"/>
          <w:sz w:val="24"/>
          <w:highlight w:val="none"/>
        </w:rPr>
        <w:t>三、报价符合性审查的内容及标准</w:t>
      </w:r>
      <w:bookmarkEnd w:id="40"/>
    </w:p>
    <w:tbl>
      <w:tblPr>
        <w:tblStyle w:val="20"/>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00"/>
        <w:gridCol w:w="2556"/>
        <w:gridCol w:w="4645"/>
      </w:tblGrid>
      <w:tr w14:paraId="09E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vAlign w:val="center"/>
          </w:tcPr>
          <w:p w14:paraId="35BB88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1300" w:type="dxa"/>
            <w:vAlign w:val="center"/>
          </w:tcPr>
          <w:p w14:paraId="7801AF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类型</w:t>
            </w:r>
          </w:p>
        </w:tc>
        <w:tc>
          <w:tcPr>
            <w:tcW w:w="2556" w:type="dxa"/>
            <w:vAlign w:val="center"/>
          </w:tcPr>
          <w:p w14:paraId="0A5D49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要求</w:t>
            </w:r>
          </w:p>
        </w:tc>
        <w:tc>
          <w:tcPr>
            <w:tcW w:w="4645" w:type="dxa"/>
            <w:vAlign w:val="center"/>
          </w:tcPr>
          <w:p w14:paraId="13ECC2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要求说明</w:t>
            </w:r>
          </w:p>
        </w:tc>
      </w:tr>
      <w:tr w14:paraId="310E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Align w:val="center"/>
          </w:tcPr>
          <w:p w14:paraId="0F1C3C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00" w:type="dxa"/>
            <w:vAlign w:val="center"/>
          </w:tcPr>
          <w:p w14:paraId="3662B2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2556" w:type="dxa"/>
            <w:vAlign w:val="center"/>
          </w:tcPr>
          <w:p w14:paraId="12F806E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投标文件的报价审核</w:t>
            </w:r>
          </w:p>
        </w:tc>
        <w:tc>
          <w:tcPr>
            <w:tcW w:w="4645" w:type="dxa"/>
            <w:vAlign w:val="center"/>
          </w:tcPr>
          <w:p w14:paraId="3D35D88D">
            <w:pPr>
              <w:keepNext w:val="0"/>
              <w:keepLines w:val="0"/>
              <w:pageBreakBefore w:val="0"/>
              <w:widowControl w:val="0"/>
              <w:tabs>
                <w:tab w:val="left" w:pos="567"/>
              </w:tabs>
              <w:kinsoku/>
              <w:wordWrap/>
              <w:overflowPunct/>
              <w:topLinePunct w:val="0"/>
              <w:autoSpaceDE/>
              <w:autoSpaceDN/>
              <w:bidi w:val="0"/>
              <w:adjustRightInd/>
              <w:snapToGrid/>
              <w:spacing w:line="440" w:lineRule="exact"/>
              <w:ind w:firstLine="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审查投标人报价是否超出各包最高限价，存在超出最高限价的，投标无效。</w:t>
            </w:r>
          </w:p>
        </w:tc>
      </w:tr>
    </w:tbl>
    <w:p w14:paraId="78F78E98">
      <w:pPr>
        <w:keepNext/>
        <w:topLinePunct/>
        <w:adjustRightInd w:val="0"/>
        <w:snapToGrid w:val="0"/>
        <w:spacing w:before="120" w:beforeLines="50" w:line="360" w:lineRule="auto"/>
        <w:ind w:firstLine="482" w:firstLineChars="200"/>
        <w:jc w:val="left"/>
        <w:outlineLvl w:val="1"/>
        <w:rPr>
          <w:rFonts w:hint="eastAsia" w:ascii="宋体" w:hAnsi="宋体" w:eastAsia="宋体" w:cs="宋体"/>
          <w:b/>
          <w:bCs/>
          <w:snapToGrid w:val="0"/>
          <w:color w:val="auto"/>
          <w:kern w:val="0"/>
          <w:sz w:val="24"/>
          <w:highlight w:val="none"/>
        </w:rPr>
      </w:pPr>
      <w:bookmarkStart w:id="41" w:name="_Toc180347468"/>
      <w:r>
        <w:rPr>
          <w:rFonts w:hint="eastAsia" w:ascii="宋体" w:hAnsi="宋体" w:eastAsia="宋体" w:cs="宋体"/>
          <w:b/>
          <w:bCs/>
          <w:snapToGrid w:val="0"/>
          <w:color w:val="auto"/>
          <w:kern w:val="0"/>
          <w:sz w:val="24"/>
          <w:highlight w:val="none"/>
        </w:rPr>
        <w:t>四、落实政府采购政策性要求的评审内容及标准</w:t>
      </w:r>
      <w:bookmarkEnd w:id="41"/>
    </w:p>
    <w:p w14:paraId="6B07AFA7">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1.进口货物评审标准</w:t>
      </w:r>
    </w:p>
    <w:p w14:paraId="54F47AF6">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r>
        <w:rPr>
          <w:rFonts w:hint="eastAsia" w:ascii="宋体" w:hAnsi="宋体" w:eastAsia="宋体" w:cs="宋体"/>
          <w:b/>
          <w:bCs/>
          <w:color w:val="auto"/>
          <w:sz w:val="24"/>
          <w:highlight w:val="none"/>
        </w:rPr>
        <w:t>如未特别标明“进口产品”字样，投标人投报了进口产品的，按无效投标处理。</w:t>
      </w:r>
    </w:p>
    <w:p w14:paraId="21969699">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2.强制节能产品</w:t>
      </w:r>
    </w:p>
    <w:p w14:paraId="6FBC383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2B939200">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3.本项目所采购的货物中如包含计算机，必须提供《</w:t>
      </w:r>
      <w:r>
        <w:rPr>
          <w:rFonts w:hint="eastAsia" w:ascii="宋体" w:hAnsi="宋体" w:eastAsia="宋体" w:cs="宋体"/>
          <w:b/>
          <w:color w:val="auto"/>
          <w:sz w:val="24"/>
          <w:highlight w:val="none"/>
        </w:rPr>
        <w:t>正版软件承诺函</w:t>
      </w:r>
      <w:r>
        <w:rPr>
          <w:rFonts w:hint="eastAsia" w:ascii="宋体" w:hAnsi="宋体" w:eastAsia="宋体" w:cs="宋体"/>
          <w:b/>
          <w:bCs/>
          <w:color w:val="auto"/>
          <w:kern w:val="0"/>
          <w:sz w:val="24"/>
          <w:highlight w:val="none"/>
        </w:rPr>
        <w:t>》，否则，投标无效。</w:t>
      </w:r>
    </w:p>
    <w:p w14:paraId="43862B81">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w:t>
      </w:r>
      <w:r>
        <w:rPr>
          <w:rFonts w:hint="eastAsia" w:ascii="宋体" w:hAnsi="宋体" w:eastAsia="宋体" w:cs="宋体"/>
          <w:color w:val="auto"/>
          <w:kern w:val="0"/>
          <w:sz w:val="24"/>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385C3632">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5.中小微企业参加本项目</w:t>
      </w:r>
    </w:p>
    <w:p w14:paraId="42F0F35F">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5.1如本项目是专门面向中小企业的采购项目，须如实填写《中小企业声明函》。且声明函内容须符合要求、完整、准确（</w:t>
      </w:r>
      <w:r>
        <w:rPr>
          <w:rFonts w:hint="eastAsia" w:ascii="宋体" w:hAnsi="宋体" w:eastAsia="宋体" w:cs="宋体"/>
          <w:snapToGrid w:val="0"/>
          <w:color w:val="auto"/>
          <w:kern w:val="0"/>
          <w:sz w:val="24"/>
          <w:highlight w:val="none"/>
        </w:rPr>
        <w:t>除评审专家可要求其澄清的内容外</w:t>
      </w:r>
      <w:r>
        <w:rPr>
          <w:rFonts w:hint="eastAsia" w:ascii="宋体" w:hAnsi="宋体" w:eastAsia="宋体" w:cs="宋体"/>
          <w:color w:val="auto"/>
          <w:sz w:val="24"/>
          <w:highlight w:val="none"/>
        </w:rPr>
        <w:t>），否则，投标无效。</w:t>
      </w:r>
    </w:p>
    <w:p w14:paraId="5469C76B">
      <w:pPr>
        <w:keepNext/>
        <w:topLinePunct/>
        <w:adjustRightInd w:val="0"/>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5.2如本项目是非</w:t>
      </w:r>
      <w:r>
        <w:rPr>
          <w:rFonts w:hint="eastAsia" w:ascii="宋体" w:hAnsi="宋体" w:eastAsia="宋体" w:cs="宋体"/>
          <w:color w:val="auto"/>
          <w:sz w:val="24"/>
          <w:highlight w:val="none"/>
        </w:rPr>
        <w:t>专门面向中小企业的采购项目，需如实填写《中小企业声明函》。且声明函内容须符合要求、完整、准确（</w:t>
      </w:r>
      <w:r>
        <w:rPr>
          <w:rFonts w:hint="eastAsia" w:ascii="宋体" w:hAnsi="宋体" w:eastAsia="宋体" w:cs="宋体"/>
          <w:snapToGrid w:val="0"/>
          <w:color w:val="auto"/>
          <w:kern w:val="0"/>
          <w:sz w:val="24"/>
          <w:highlight w:val="none"/>
        </w:rPr>
        <w:t>除评审专家可要求其澄清的内容外</w:t>
      </w:r>
      <w:r>
        <w:rPr>
          <w:rFonts w:hint="eastAsia" w:ascii="宋体" w:hAnsi="宋体" w:eastAsia="宋体" w:cs="宋体"/>
          <w:color w:val="auto"/>
          <w:sz w:val="24"/>
          <w:highlight w:val="none"/>
        </w:rPr>
        <w:t>），否则，不予认可。</w:t>
      </w:r>
    </w:p>
    <w:p w14:paraId="1457BD5C">
      <w:pPr>
        <w:keepNext/>
        <w:topLinePunct/>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6.监狱企业参加本项目</w:t>
      </w:r>
    </w:p>
    <w:p w14:paraId="6BE99E4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7749963B">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6.2</w:t>
      </w:r>
      <w:r>
        <w:rPr>
          <w:rFonts w:hint="eastAsia" w:ascii="宋体" w:hAnsi="宋体" w:eastAsia="宋体" w:cs="宋体"/>
          <w:color w:val="auto"/>
          <w:sz w:val="24"/>
          <w:highlight w:val="none"/>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5CEB6DA4">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7.残疾人福利性单位参加本项目</w:t>
      </w:r>
    </w:p>
    <w:p w14:paraId="5EF36F0F">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残疾人福利性单位视同小型、微型企业，如本项目是专门面向中小企业的采购项目，须提供《残疾人福利性单位声明函》（除评审专家可要求其澄清的内容外），且声明函须符合要求、完整、准确，否则，投标无效。</w:t>
      </w:r>
    </w:p>
    <w:p w14:paraId="663CA49C">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3AE03BC0">
      <w:pPr>
        <w:keepNext/>
        <w:topLinePunct/>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8.联合体企业参加本项目</w:t>
      </w:r>
    </w:p>
    <w:p w14:paraId="1ED73688">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如本项目是专门面向中小企业且允许两个中小企业组成联合体参加的采购项目，须提供《联合体投标协议书》和其中报价产品为中小企业制造的《中小企业声明函》，协议书和声明函均需符合要求、完整、准确，否则，投标无效。</w:t>
      </w:r>
    </w:p>
    <w:p w14:paraId="622A40AC">
      <w:pPr>
        <w:keepNext/>
        <w:topLinePunct/>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rPr>
        <w:t>8.2如本项目是非专门面向中小企业，</w:t>
      </w:r>
      <w:r>
        <w:rPr>
          <w:rFonts w:hint="eastAsia" w:ascii="宋体" w:hAnsi="宋体" w:eastAsia="宋体" w:cs="宋体"/>
          <w:snapToGrid w:val="0"/>
          <w:color w:val="auto"/>
          <w:kern w:val="0"/>
          <w:sz w:val="24"/>
          <w:highlight w:val="none"/>
        </w:rPr>
        <w:t>接受大中型企业与小微企业组成联合体或者允许大中型企业向一家或者多家小微企业分包的采购项目，对于联合协议或者分包意向协议约定小微企业的合同份额占到合同总金额30%以上的，且提供了《联合体投标协议书》，协议书均需符合要求、完整、准确，否则，不予认可。</w:t>
      </w:r>
    </w:p>
    <w:p w14:paraId="1CB796A2">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9.创新产品参加的项目</w:t>
      </w:r>
    </w:p>
    <w:p w14:paraId="39C27E6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根据《政府采购支持创新产品和服务实施细则》（晋财购【2019】19号），需在投标文件中提供《山西省创新产品和服务推荐清单》产品截图，并填写《创新产品或创新服务明细表》，否则，不予认可。</w:t>
      </w:r>
    </w:p>
    <w:p w14:paraId="6987CC5E">
      <w:pPr>
        <w:pStyle w:val="30"/>
        <w:keepNext/>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color w:val="auto"/>
          <w:sz w:val="24"/>
          <w:szCs w:val="24"/>
          <w:highlight w:val="none"/>
        </w:rPr>
        <w:t>无效投标的情形</w:t>
      </w:r>
    </w:p>
    <w:p w14:paraId="10D3B82E">
      <w:pPr>
        <w:pStyle w:val="30"/>
        <w:keepNex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未通过资格性、符合性审查的投标文件为无效投标。</w:t>
      </w:r>
    </w:p>
    <w:p w14:paraId="725CD825">
      <w:pPr>
        <w:keepNext/>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color w:val="auto"/>
          <w:sz w:val="24"/>
          <w:highlight w:val="none"/>
        </w:rPr>
        <w:t>六、</w:t>
      </w:r>
      <w:r>
        <w:rPr>
          <w:rFonts w:hint="eastAsia" w:ascii="宋体" w:hAnsi="宋体" w:eastAsia="宋体" w:cs="宋体"/>
          <w:b/>
          <w:bCs/>
          <w:color w:val="auto"/>
          <w:kern w:val="0"/>
          <w:sz w:val="24"/>
          <w:highlight w:val="none"/>
        </w:rPr>
        <w:t>评分细则</w:t>
      </w:r>
    </w:p>
    <w:p w14:paraId="6FBE0DA4">
      <w:pPr>
        <w:keepNext/>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本次评标采用综合评分法，投标文件满足招标文件全部实质性要求，且按照评分细则的量化指标进行评审（具体评分见综合评分法评分细则），得分最高的投标人为中标人或第一中标候选人。</w:t>
      </w:r>
    </w:p>
    <w:tbl>
      <w:tblPr>
        <w:tblStyle w:val="20"/>
        <w:tblW w:w="53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2"/>
        <w:gridCol w:w="696"/>
      </w:tblGrid>
      <w:tr w14:paraId="7279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650" w:type="pct"/>
            <w:tcBorders>
              <w:top w:val="single" w:color="auto" w:sz="4" w:space="0"/>
              <w:left w:val="single" w:color="auto" w:sz="4" w:space="0"/>
              <w:bottom w:val="single" w:color="auto" w:sz="4" w:space="0"/>
              <w:right w:val="single" w:color="auto" w:sz="4" w:space="0"/>
            </w:tcBorders>
            <w:noWrap w:val="0"/>
            <w:vAlign w:val="center"/>
          </w:tcPr>
          <w:p w14:paraId="4E2E2FE7">
            <w:pPr>
              <w:keepNext w:val="0"/>
              <w:keepLines w:val="0"/>
              <w:pageBreakBefore w:val="0"/>
              <w:shd w:val="clear" w:color="auto" w:fill="auto"/>
              <w:kinsoku/>
              <w:wordWrap/>
              <w:overflowPunct/>
              <w:topLinePunct w:val="0"/>
              <w:autoSpaceDE w:val="0"/>
              <w:autoSpaceDN w:val="0"/>
              <w:bidi w:val="0"/>
              <w:adjustRightInd/>
              <w:snapToGrid/>
              <w:spacing w:line="42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评 </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 xml:space="preserve"> 内 容 及 标 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42DE737F">
            <w:pPr>
              <w:keepNext w:val="0"/>
              <w:keepLines w:val="0"/>
              <w:pageBreakBefore w:val="0"/>
              <w:shd w:val="clear" w:color="auto" w:fill="auto"/>
              <w:kinsoku/>
              <w:wordWrap/>
              <w:overflowPunct/>
              <w:topLinePunct w:val="0"/>
              <w:autoSpaceDE w:val="0"/>
              <w:autoSpaceDN w:val="0"/>
              <w:bidi w:val="0"/>
              <w:adjustRightInd/>
              <w:snapToGrid/>
              <w:spacing w:line="42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tc>
      </w:tr>
      <w:tr w14:paraId="170A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10A25F58">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一、商务部分</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r>
              <w:rPr>
                <w:rFonts w:hint="eastAsia" w:ascii="宋体" w:hAnsi="宋体" w:eastAsia="宋体" w:cs="宋体"/>
                <w:b/>
                <w:bCs/>
                <w:color w:val="auto"/>
                <w:sz w:val="21"/>
                <w:szCs w:val="21"/>
                <w:highlight w:val="none"/>
              </w:rPr>
              <w:t>(由评标委员会共同认定)</w:t>
            </w:r>
          </w:p>
        </w:tc>
      </w:tr>
      <w:tr w14:paraId="219C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0" w:type="pct"/>
            <w:tcBorders>
              <w:top w:val="single" w:color="auto" w:sz="4" w:space="0"/>
              <w:left w:val="single" w:color="auto" w:sz="4" w:space="0"/>
              <w:bottom w:val="single" w:color="auto" w:sz="4" w:space="0"/>
              <w:right w:val="single" w:color="auto" w:sz="4" w:space="0"/>
            </w:tcBorders>
            <w:noWrap w:val="0"/>
            <w:vAlign w:val="center"/>
          </w:tcPr>
          <w:p w14:paraId="7A2016D6">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1.投标人履约能力(10分)</w:t>
            </w:r>
          </w:p>
          <w:p w14:paraId="08499895">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根据投标人投标文件中提供的投标文件递交截止时间前三年（2022年</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月起至投标文件递交截止之日止）内完 成的同类项目成功案例的业绩证明材料进行打分。每份业绩得2分，满分10分。</w:t>
            </w:r>
          </w:p>
          <w:p w14:paraId="27B160EB">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注：1)成功案例业绩证明材料指投标人签订的合同，至少包含合同首页、签字盖章页、合同金额所在页，须加盖投标人公章。</w:t>
            </w:r>
          </w:p>
          <w:p w14:paraId="179C61B6">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2)本款可作为得分的合同案例仅指投标人自身的合同案例。即合同案例中的乙方必须与投标人的名称完全一致。</w:t>
            </w:r>
          </w:p>
          <w:p w14:paraId="29FDDC75">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3)完成的类似项目合同案例指包含与本次采购货物为同类型的项目合同案例。</w:t>
            </w:r>
          </w:p>
          <w:p w14:paraId="44D08FC3">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4)证明材料不完整或不符合以上内容要求或不清晰，导致无法判断是否符合以上要求的，不得分。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33DC4368">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r>
      <w:tr w14:paraId="25F3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0" w:type="pct"/>
            <w:tcBorders>
              <w:top w:val="single" w:color="auto" w:sz="4" w:space="0"/>
              <w:left w:val="single" w:color="auto" w:sz="4" w:space="0"/>
              <w:bottom w:val="single" w:color="auto" w:sz="4" w:space="0"/>
              <w:right w:val="single" w:color="auto" w:sz="4" w:space="0"/>
            </w:tcBorders>
            <w:noWrap w:val="0"/>
            <w:vAlign w:val="center"/>
          </w:tcPr>
          <w:p w14:paraId="763427E3">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2.企业信誉（2分）</w:t>
            </w:r>
          </w:p>
          <w:p w14:paraId="7C523A66">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提供与投标人业绩相对应用户对投标人的服务反馈意见满意度为“良好”以上的证明材料，经评标委员会共同认定后打分，每有一份得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分，满分2分。</w:t>
            </w:r>
          </w:p>
          <w:p w14:paraId="7ABEF60E">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注：复印件中无用户章或满意度为“良好”以下的，均不得分。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38F7F294">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r>
      <w:tr w14:paraId="5834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0" w:type="pct"/>
            <w:tcBorders>
              <w:top w:val="single" w:color="auto" w:sz="4" w:space="0"/>
              <w:left w:val="single" w:color="auto" w:sz="4" w:space="0"/>
              <w:bottom w:val="single" w:color="auto" w:sz="4" w:space="0"/>
              <w:right w:val="single" w:color="auto" w:sz="4" w:space="0"/>
            </w:tcBorders>
            <w:noWrap w:val="0"/>
            <w:vAlign w:val="center"/>
          </w:tcPr>
          <w:p w14:paraId="421CDBDA">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3.质保期（3分）</w:t>
            </w:r>
          </w:p>
          <w:p w14:paraId="202DCFD7">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根据投标人投标文件中的设备填报质保期进行评定。</w:t>
            </w:r>
          </w:p>
          <w:p w14:paraId="080BCEB9">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投标的任意单个设备每增加半年质保期加0.5分，单个设备最高加1分，总分最高加3分。</w:t>
            </w:r>
          </w:p>
          <w:p w14:paraId="1B3192E6">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注:最小计分项为半年，不足半年的部分则忽略不计。</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2011298B">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r>
      <w:tr w14:paraId="7FDA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0F2EA3FD">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二、技术</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部分(</w:t>
            </w:r>
            <w:r>
              <w:rPr>
                <w:rFonts w:hint="eastAsia" w:ascii="宋体" w:hAnsi="宋体" w:eastAsia="宋体" w:cs="宋体"/>
                <w:b/>
                <w:bCs/>
                <w:color w:val="auto"/>
                <w:sz w:val="21"/>
                <w:szCs w:val="21"/>
                <w:highlight w:val="none"/>
                <w:lang w:val="en-US" w:eastAsia="zh-CN"/>
              </w:rPr>
              <w:t>55</w:t>
            </w:r>
            <w:r>
              <w:rPr>
                <w:rFonts w:hint="eastAsia" w:ascii="宋体" w:hAnsi="宋体" w:eastAsia="宋体" w:cs="宋体"/>
                <w:b/>
                <w:bCs/>
                <w:color w:val="auto"/>
                <w:sz w:val="21"/>
                <w:szCs w:val="21"/>
                <w:highlight w:val="none"/>
              </w:rPr>
              <w:t>分)</w:t>
            </w:r>
          </w:p>
        </w:tc>
      </w:tr>
      <w:tr w14:paraId="4CE5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0" w:type="pct"/>
            <w:tcBorders>
              <w:top w:val="single" w:color="auto" w:sz="4" w:space="0"/>
              <w:left w:val="single" w:color="auto" w:sz="4" w:space="0"/>
              <w:bottom w:val="single" w:color="auto" w:sz="4" w:space="0"/>
              <w:right w:val="single" w:color="auto" w:sz="4" w:space="0"/>
            </w:tcBorders>
            <w:noWrap w:val="0"/>
            <w:vAlign w:val="center"/>
          </w:tcPr>
          <w:p w14:paraId="03FEE3E9">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pacing w:val="-6"/>
                <w:sz w:val="21"/>
                <w:szCs w:val="21"/>
                <w:highlight w:val="none"/>
                <w:lang w:val="en-US" w:eastAsia="zh-CN"/>
              </w:rPr>
              <w:t>4.</w:t>
            </w:r>
            <w:r>
              <w:rPr>
                <w:rFonts w:hint="eastAsia" w:ascii="宋体" w:hAnsi="宋体" w:eastAsia="宋体" w:cs="宋体"/>
                <w:spacing w:val="-6"/>
                <w:sz w:val="21"/>
                <w:szCs w:val="21"/>
                <w:highlight w:val="none"/>
              </w:rPr>
              <w:t>根据投标文件对招标文件技术指标的响应程度进行评分（</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分）：招标文件第五部分的技术要求中，非标注“★”号的技术参数，共</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分，每存在一项负偏离扣2分，扣完为止。</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6D6BCD97">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r>
      <w:tr w14:paraId="2F73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0" w:type="pct"/>
            <w:tcBorders>
              <w:top w:val="single" w:color="auto" w:sz="4" w:space="0"/>
              <w:left w:val="single" w:color="auto" w:sz="4" w:space="0"/>
              <w:bottom w:val="single" w:color="auto" w:sz="4" w:space="0"/>
              <w:right w:val="single" w:color="auto" w:sz="4" w:space="0"/>
            </w:tcBorders>
            <w:noWrap w:val="0"/>
            <w:vAlign w:val="center"/>
          </w:tcPr>
          <w:p w14:paraId="5AD151A0">
            <w:pPr>
              <w:pStyle w:val="49"/>
              <w:spacing w:before="133"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5.供货方案（5分）</w:t>
            </w:r>
          </w:p>
          <w:p w14:paraId="240A9943">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pacing w:val="-6"/>
                <w:sz w:val="21"/>
                <w:szCs w:val="21"/>
                <w:highlight w:val="none"/>
              </w:rPr>
              <w:t>根据</w:t>
            </w:r>
            <w:r>
              <w:rPr>
                <w:rFonts w:hint="eastAsia" w:ascii="宋体" w:hAnsi="宋体" w:eastAsia="宋体" w:cs="宋体"/>
                <w:spacing w:val="-6"/>
                <w:sz w:val="21"/>
                <w:szCs w:val="21"/>
                <w:highlight w:val="none"/>
                <w:lang w:eastAsia="zh-CN"/>
              </w:rPr>
              <w:t>投标人</w:t>
            </w:r>
            <w:r>
              <w:rPr>
                <w:rFonts w:hint="eastAsia" w:ascii="宋体" w:hAnsi="宋体" w:eastAsia="宋体" w:cs="宋体"/>
                <w:spacing w:val="-6"/>
                <w:sz w:val="21"/>
                <w:szCs w:val="21"/>
                <w:highlight w:val="none"/>
              </w:rPr>
              <w:t>提供的供货方案，需包含但不限于以下要点：①供货期限；②交货方式；③供货保障流程；④供货流程要点；⑤供货实施步骤。由评标委员会进行评议：供货期完全满足招标文件要求，交货方式切合实际，供货流程合理且供货流程要点明确，供货实施步骤清晰，能提供比较有针对性的服务措施的得5分；方案内容符合本项目的供货要求，实行上基本合理可行的得3分；方案内容不完整，内容不充分，与本项目货物 供应要求有差距的得1分；未提供相关内容的不得分。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15287D16">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r>
      <w:tr w14:paraId="610B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272" w:type="dxa"/>
            <w:tcBorders>
              <w:top w:val="single" w:color="auto" w:sz="4" w:space="0"/>
              <w:left w:val="single" w:color="auto" w:sz="4" w:space="0"/>
              <w:bottom w:val="single" w:color="auto" w:sz="4" w:space="0"/>
              <w:right w:val="single" w:color="auto" w:sz="4" w:space="0"/>
            </w:tcBorders>
            <w:noWrap w:val="0"/>
            <w:vAlign w:val="center"/>
          </w:tcPr>
          <w:p w14:paraId="4C057802">
            <w:pPr>
              <w:pStyle w:val="49"/>
              <w:spacing w:before="134" w:line="360" w:lineRule="auto"/>
              <w:ind w:right="238"/>
              <w:jc w:val="both"/>
              <w:rPr>
                <w:rFonts w:hint="eastAsia" w:ascii="宋体" w:hAnsi="宋体" w:eastAsia="宋体" w:cs="宋体"/>
                <w:b/>
                <w:bCs/>
                <w:sz w:val="21"/>
                <w:szCs w:val="21"/>
                <w:highlight w:val="none"/>
              </w:rPr>
            </w:pPr>
            <w:r>
              <w:rPr>
                <w:rFonts w:hint="eastAsia" w:ascii="宋体" w:hAnsi="宋体" w:eastAsia="宋体" w:cs="宋体"/>
                <w:b/>
                <w:bCs/>
                <w:spacing w:val="6"/>
                <w:sz w:val="21"/>
                <w:szCs w:val="21"/>
                <w:highlight w:val="none"/>
                <w:lang w:val="en-US" w:eastAsia="zh-CN"/>
              </w:rPr>
              <w:t>6.</w:t>
            </w:r>
            <w:r>
              <w:rPr>
                <w:rFonts w:hint="eastAsia" w:ascii="宋体" w:hAnsi="宋体" w:eastAsia="宋体" w:cs="宋体"/>
                <w:b/>
                <w:bCs/>
                <w:spacing w:val="6"/>
                <w:sz w:val="21"/>
                <w:szCs w:val="21"/>
                <w:highlight w:val="none"/>
              </w:rPr>
              <w:t>安装与</w:t>
            </w:r>
            <w:r>
              <w:rPr>
                <w:rFonts w:hint="eastAsia" w:ascii="宋体" w:hAnsi="宋体" w:eastAsia="宋体" w:cs="宋体"/>
                <w:b/>
                <w:bCs/>
                <w:spacing w:val="6"/>
                <w:sz w:val="21"/>
                <w:szCs w:val="21"/>
                <w:highlight w:val="none"/>
                <w:lang w:val="en-US" w:eastAsia="zh-CN"/>
              </w:rPr>
              <w:t>调试</w:t>
            </w:r>
            <w:r>
              <w:rPr>
                <w:rFonts w:hint="eastAsia" w:ascii="宋体" w:hAnsi="宋体" w:eastAsia="宋体" w:cs="宋体"/>
                <w:b/>
                <w:bCs/>
                <w:spacing w:val="6"/>
                <w:sz w:val="21"/>
                <w:szCs w:val="21"/>
                <w:highlight w:val="none"/>
              </w:rPr>
              <w:t>方案（5</w:t>
            </w:r>
            <w:r>
              <w:rPr>
                <w:rFonts w:hint="eastAsia" w:ascii="宋体" w:hAnsi="宋体" w:eastAsia="宋体" w:cs="宋体"/>
                <w:b/>
                <w:bCs/>
                <w:spacing w:val="14"/>
                <w:sz w:val="21"/>
                <w:szCs w:val="21"/>
                <w:highlight w:val="none"/>
              </w:rPr>
              <w:t>分）</w:t>
            </w:r>
          </w:p>
          <w:p w14:paraId="4BC3DFB0">
            <w:pPr>
              <w:widowControl/>
              <w:numPr>
                <w:ilvl w:val="0"/>
                <w:numId w:val="0"/>
              </w:numPr>
              <w:snapToGrid w:val="0"/>
              <w:spacing w:line="360" w:lineRule="auto"/>
              <w:ind w:left="0" w:leftChars="0" w:firstLine="45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spacing w:val="8"/>
                <w:sz w:val="21"/>
                <w:szCs w:val="21"/>
                <w:highlight w:val="none"/>
              </w:rPr>
              <w:t>根据</w:t>
            </w:r>
            <w:r>
              <w:rPr>
                <w:rFonts w:hint="eastAsia" w:ascii="宋体" w:hAnsi="宋体" w:eastAsia="宋体" w:cs="宋体"/>
                <w:spacing w:val="8"/>
                <w:sz w:val="21"/>
                <w:szCs w:val="21"/>
                <w:highlight w:val="none"/>
                <w:lang w:eastAsia="zh-CN"/>
              </w:rPr>
              <w:t>投标人</w:t>
            </w:r>
            <w:r>
              <w:rPr>
                <w:rFonts w:hint="eastAsia" w:ascii="宋体" w:hAnsi="宋体" w:eastAsia="宋体" w:cs="宋体"/>
                <w:spacing w:val="8"/>
                <w:sz w:val="21"/>
                <w:szCs w:val="21"/>
                <w:highlight w:val="none"/>
              </w:rPr>
              <w:t>提供的安装与</w:t>
            </w:r>
            <w:r>
              <w:rPr>
                <w:rFonts w:hint="eastAsia" w:ascii="宋体" w:hAnsi="宋体" w:eastAsia="宋体" w:cs="宋体"/>
                <w:spacing w:val="8"/>
                <w:sz w:val="21"/>
                <w:szCs w:val="21"/>
                <w:highlight w:val="none"/>
                <w:lang w:val="en-US" w:eastAsia="zh-CN"/>
              </w:rPr>
              <w:t>调试</w:t>
            </w:r>
            <w:r>
              <w:rPr>
                <w:rFonts w:hint="eastAsia" w:ascii="宋体" w:hAnsi="宋体" w:eastAsia="宋体" w:cs="宋体"/>
                <w:spacing w:val="8"/>
                <w:sz w:val="21"/>
                <w:szCs w:val="21"/>
                <w:highlight w:val="none"/>
              </w:rPr>
              <w:t>方案，需包含但不限于以下要点：①安装方案；②安装人员配置；③调试要求。由评</w:t>
            </w:r>
            <w:r>
              <w:rPr>
                <w:rFonts w:hint="eastAsia" w:ascii="宋体" w:hAnsi="宋体" w:eastAsia="宋体" w:cs="宋体"/>
                <w:spacing w:val="9"/>
                <w:sz w:val="21"/>
                <w:szCs w:val="21"/>
                <w:highlight w:val="none"/>
              </w:rPr>
              <w:t>标委员会进行评议：</w:t>
            </w:r>
            <w:r>
              <w:rPr>
                <w:rFonts w:hint="eastAsia" w:ascii="宋体" w:hAnsi="宋体" w:eastAsia="宋体" w:cs="宋体"/>
                <w:spacing w:val="8"/>
                <w:sz w:val="21"/>
                <w:szCs w:val="21"/>
                <w:highlight w:val="none"/>
              </w:rPr>
              <w:t>安装方案得当，安装人员配置贴合实际需求，调试要求明确科学，能确保货物正常安装及验</w:t>
            </w:r>
            <w:r>
              <w:rPr>
                <w:rFonts w:hint="eastAsia" w:ascii="宋体" w:hAnsi="宋体" w:eastAsia="宋体" w:cs="宋体"/>
                <w:spacing w:val="9"/>
                <w:sz w:val="21"/>
                <w:szCs w:val="21"/>
                <w:highlight w:val="none"/>
              </w:rPr>
              <w:t>收的得5分；</w:t>
            </w:r>
            <w:r>
              <w:rPr>
                <w:rFonts w:hint="eastAsia" w:ascii="宋体" w:hAnsi="宋体" w:eastAsia="宋体" w:cs="宋体"/>
                <w:spacing w:val="8"/>
                <w:sz w:val="21"/>
                <w:szCs w:val="21"/>
                <w:highlight w:val="none"/>
              </w:rPr>
              <w:t>安装方案及安装人员配置基本贴合实际需求，调试要求基本明确基本合理可行的得3分；安装与验收方案符合项目实际要求，但存在一定缺项的得1分；未提供相关内容的不得</w:t>
            </w:r>
            <w:r>
              <w:rPr>
                <w:rFonts w:hint="eastAsia" w:ascii="宋体" w:hAnsi="宋体" w:eastAsia="宋体" w:cs="宋体"/>
                <w:spacing w:val="-6"/>
                <w:sz w:val="21"/>
                <w:szCs w:val="21"/>
                <w:highlight w:val="none"/>
              </w:rPr>
              <w:t>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40A650C1">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r>
      <w:tr w14:paraId="42BD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9272" w:type="dxa"/>
            <w:tcBorders>
              <w:top w:val="single" w:color="auto" w:sz="4" w:space="0"/>
              <w:left w:val="single" w:color="auto" w:sz="4" w:space="0"/>
              <w:bottom w:val="single" w:color="auto" w:sz="4" w:space="0"/>
              <w:right w:val="single" w:color="auto" w:sz="4" w:space="0"/>
            </w:tcBorders>
            <w:noWrap w:val="0"/>
            <w:vAlign w:val="center"/>
          </w:tcPr>
          <w:p w14:paraId="3F0684C1">
            <w:pPr>
              <w:pStyle w:val="49"/>
              <w:spacing w:before="133" w:line="360" w:lineRule="auto"/>
              <w:jc w:val="both"/>
              <w:rPr>
                <w:rFonts w:hint="eastAsia" w:ascii="宋体" w:hAnsi="宋体" w:eastAsia="宋体" w:cs="宋体"/>
                <w:b/>
                <w:bCs/>
                <w:sz w:val="21"/>
                <w:szCs w:val="21"/>
                <w:highlight w:val="none"/>
              </w:rPr>
            </w:pPr>
            <w:r>
              <w:rPr>
                <w:rFonts w:hint="eastAsia" w:ascii="宋体" w:hAnsi="宋体" w:eastAsia="宋体" w:cs="宋体"/>
                <w:b/>
                <w:bCs/>
                <w:spacing w:val="8"/>
                <w:sz w:val="21"/>
                <w:szCs w:val="21"/>
                <w:highlight w:val="none"/>
                <w:lang w:val="en-US" w:eastAsia="zh-CN"/>
              </w:rPr>
              <w:t>7.</w:t>
            </w:r>
            <w:r>
              <w:rPr>
                <w:rFonts w:hint="eastAsia" w:ascii="宋体" w:hAnsi="宋体" w:eastAsia="宋体" w:cs="宋体"/>
                <w:b/>
                <w:bCs/>
                <w:spacing w:val="8"/>
                <w:sz w:val="21"/>
                <w:szCs w:val="21"/>
                <w:highlight w:val="none"/>
              </w:rPr>
              <w:t>服务承诺（5分）</w:t>
            </w:r>
          </w:p>
          <w:p w14:paraId="567BD164">
            <w:pPr>
              <w:widowControl/>
              <w:numPr>
                <w:ilvl w:val="0"/>
                <w:numId w:val="0"/>
              </w:numPr>
              <w:snapToGrid w:val="0"/>
              <w:spacing w:line="360" w:lineRule="auto"/>
              <w:ind w:left="0" w:leftChars="0" w:firstLine="45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spacing w:val="8"/>
                <w:sz w:val="21"/>
                <w:szCs w:val="21"/>
                <w:highlight w:val="none"/>
                <w:lang w:eastAsia="zh-CN"/>
              </w:rPr>
              <w:t>投标人</w:t>
            </w:r>
            <w:r>
              <w:rPr>
                <w:rFonts w:hint="eastAsia" w:ascii="宋体" w:hAnsi="宋体" w:eastAsia="宋体" w:cs="宋体"/>
                <w:spacing w:val="8"/>
                <w:sz w:val="21"/>
                <w:szCs w:val="21"/>
                <w:highlight w:val="none"/>
              </w:rPr>
              <w:t>需结合自身实际提供服务承诺，需包含但不限于以下要点：①服务方式；②服务响应时间；③技术支持；④服务体系承诺。由评标</w:t>
            </w:r>
            <w:r>
              <w:rPr>
                <w:rFonts w:hint="eastAsia" w:ascii="宋体" w:hAnsi="宋体" w:eastAsia="宋体" w:cs="宋体"/>
                <w:spacing w:val="9"/>
                <w:sz w:val="21"/>
                <w:szCs w:val="21"/>
                <w:highlight w:val="none"/>
              </w:rPr>
              <w:t>委员会进行评议：</w:t>
            </w:r>
            <w:r>
              <w:rPr>
                <w:rFonts w:hint="eastAsia" w:ascii="宋体" w:hAnsi="宋体" w:eastAsia="宋体" w:cs="宋体"/>
                <w:spacing w:val="8"/>
                <w:sz w:val="21"/>
                <w:szCs w:val="21"/>
                <w:highlight w:val="none"/>
              </w:rPr>
              <w:t>各项服务承诺能与学校实际相结合，能提供实质性承诺及保障措施，能有效保证货物正常使用的得5分；各项服务承诺与学校实际基本相结合，但承诺及保障只能基本符合货物实际使用情况，基本满足学校使用要求的得</w:t>
            </w:r>
            <w:r>
              <w:rPr>
                <w:rFonts w:hint="eastAsia" w:ascii="宋体" w:hAnsi="宋体" w:eastAsia="宋体" w:cs="宋体"/>
                <w:spacing w:val="9"/>
                <w:sz w:val="21"/>
                <w:szCs w:val="21"/>
                <w:highlight w:val="none"/>
              </w:rPr>
              <w:t>3分；</w:t>
            </w:r>
            <w:r>
              <w:rPr>
                <w:rFonts w:hint="eastAsia" w:ascii="宋体" w:hAnsi="宋体" w:eastAsia="宋体" w:cs="宋体"/>
                <w:spacing w:val="8"/>
                <w:sz w:val="21"/>
                <w:szCs w:val="21"/>
                <w:highlight w:val="none"/>
              </w:rPr>
              <w:t>各项服务承诺与学校实际欠符合，承诺及保障欠符合货物实际使用情况，欠满足学校使用要求的得1分；未提供相关内容的不得</w:t>
            </w:r>
            <w:r>
              <w:rPr>
                <w:rFonts w:hint="eastAsia" w:ascii="宋体" w:hAnsi="宋体" w:eastAsia="宋体" w:cs="宋体"/>
                <w:spacing w:val="-6"/>
                <w:sz w:val="21"/>
                <w:szCs w:val="21"/>
                <w:highlight w:val="none"/>
              </w:rPr>
              <w:t>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38FCDDC9">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r>
      <w:tr w14:paraId="520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9272" w:type="dxa"/>
            <w:tcBorders>
              <w:top w:val="single" w:color="auto" w:sz="4" w:space="0"/>
              <w:left w:val="single" w:color="auto" w:sz="4" w:space="0"/>
              <w:bottom w:val="single" w:color="auto" w:sz="4" w:space="0"/>
              <w:right w:val="single" w:color="auto" w:sz="4" w:space="0"/>
            </w:tcBorders>
            <w:noWrap w:val="0"/>
            <w:vAlign w:val="center"/>
          </w:tcPr>
          <w:p w14:paraId="324F9267">
            <w:pPr>
              <w:pStyle w:val="49"/>
              <w:spacing w:before="133" w:line="360" w:lineRule="auto"/>
              <w:jc w:val="both"/>
              <w:rPr>
                <w:rFonts w:hint="eastAsia" w:ascii="宋体" w:hAnsi="宋体" w:eastAsia="宋体" w:cs="宋体"/>
                <w:b/>
                <w:bCs/>
                <w:sz w:val="21"/>
                <w:szCs w:val="21"/>
                <w:highlight w:val="none"/>
              </w:rPr>
            </w:pPr>
            <w:r>
              <w:rPr>
                <w:rFonts w:hint="eastAsia" w:ascii="宋体" w:hAnsi="宋体" w:eastAsia="宋体" w:cs="宋体"/>
                <w:b/>
                <w:bCs/>
                <w:spacing w:val="6"/>
                <w:sz w:val="21"/>
                <w:szCs w:val="21"/>
                <w:highlight w:val="none"/>
                <w:lang w:val="en-US" w:eastAsia="zh-CN"/>
              </w:rPr>
              <w:t>8.</w:t>
            </w:r>
            <w:r>
              <w:rPr>
                <w:rFonts w:hint="eastAsia" w:ascii="宋体" w:hAnsi="宋体" w:eastAsia="宋体" w:cs="宋体"/>
                <w:b/>
                <w:bCs/>
                <w:spacing w:val="6"/>
                <w:sz w:val="21"/>
                <w:szCs w:val="21"/>
                <w:highlight w:val="none"/>
              </w:rPr>
              <w:t>质保方案（5分）</w:t>
            </w:r>
          </w:p>
          <w:p w14:paraId="266149BD">
            <w:pPr>
              <w:widowControl/>
              <w:snapToGrid w:val="0"/>
              <w:spacing w:line="360" w:lineRule="auto"/>
              <w:ind w:firstLine="45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spacing w:val="8"/>
                <w:sz w:val="21"/>
                <w:szCs w:val="21"/>
                <w:highlight w:val="none"/>
                <w:lang w:eastAsia="zh-CN"/>
              </w:rPr>
              <w:t>投标人</w:t>
            </w:r>
            <w:r>
              <w:rPr>
                <w:rFonts w:hint="eastAsia" w:ascii="宋体" w:hAnsi="宋体" w:eastAsia="宋体" w:cs="宋体"/>
                <w:spacing w:val="8"/>
                <w:sz w:val="21"/>
                <w:szCs w:val="21"/>
                <w:highlight w:val="none"/>
              </w:rPr>
              <w:t>需结合自身实际提供质保期方案，需包</w:t>
            </w:r>
            <w:r>
              <w:rPr>
                <w:rFonts w:hint="eastAsia" w:ascii="宋体" w:hAnsi="宋体" w:eastAsia="宋体" w:cs="宋体"/>
                <w:spacing w:val="9"/>
                <w:sz w:val="21"/>
                <w:szCs w:val="21"/>
                <w:highlight w:val="none"/>
              </w:rPr>
              <w:t>含但不限于以下要点</w:t>
            </w:r>
            <w:r>
              <w:rPr>
                <w:rFonts w:hint="eastAsia" w:ascii="宋体" w:hAnsi="宋体" w:eastAsia="宋体" w:cs="宋体"/>
                <w:spacing w:val="9"/>
                <w:sz w:val="21"/>
                <w:szCs w:val="21"/>
                <w:highlight w:val="none"/>
                <w:lang w:eastAsia="zh-CN"/>
              </w:rPr>
              <w:t>：</w:t>
            </w:r>
            <w:r>
              <w:rPr>
                <w:rFonts w:hint="eastAsia" w:ascii="宋体" w:hAnsi="宋体" w:eastAsia="宋体" w:cs="宋体"/>
                <w:spacing w:val="8"/>
                <w:sz w:val="21"/>
                <w:szCs w:val="21"/>
                <w:highlight w:val="none"/>
              </w:rPr>
              <w:t>①质保期内定期服务方案；②售后服务保</w:t>
            </w:r>
            <w:r>
              <w:rPr>
                <w:rFonts w:hint="eastAsia" w:ascii="宋体" w:hAnsi="宋体" w:eastAsia="宋体" w:cs="宋体"/>
                <w:spacing w:val="7"/>
                <w:sz w:val="21"/>
                <w:szCs w:val="21"/>
                <w:highlight w:val="none"/>
              </w:rPr>
              <w:t>障；③售后服务机构的</w:t>
            </w:r>
            <w:r>
              <w:rPr>
                <w:rFonts w:hint="eastAsia" w:ascii="宋体" w:hAnsi="宋体" w:eastAsia="宋体" w:cs="宋体"/>
                <w:spacing w:val="8"/>
                <w:sz w:val="21"/>
                <w:szCs w:val="21"/>
                <w:highlight w:val="none"/>
              </w:rPr>
              <w:t>设置。由评委进行综合</w:t>
            </w:r>
            <w:r>
              <w:rPr>
                <w:rFonts w:hint="eastAsia" w:ascii="宋体" w:hAnsi="宋体" w:eastAsia="宋体" w:cs="宋体"/>
                <w:spacing w:val="10"/>
                <w:sz w:val="21"/>
                <w:szCs w:val="21"/>
                <w:highlight w:val="none"/>
              </w:rPr>
              <w:t>评议：</w:t>
            </w:r>
            <w:r>
              <w:rPr>
                <w:rFonts w:hint="eastAsia" w:ascii="宋体" w:hAnsi="宋体" w:eastAsia="宋体" w:cs="宋体"/>
                <w:spacing w:val="8"/>
                <w:sz w:val="21"/>
                <w:szCs w:val="21"/>
                <w:highlight w:val="none"/>
              </w:rPr>
              <w:t>质保期内定期服务方案合理，售后服务有保障且有相应的售后服务机构，能有效提高货物使用体验，具有专业技能，服务目标明确清晰</w:t>
            </w:r>
            <w:r>
              <w:rPr>
                <w:rFonts w:hint="eastAsia" w:ascii="宋体" w:hAnsi="宋体" w:eastAsia="宋体" w:cs="宋体"/>
                <w:spacing w:val="7"/>
                <w:sz w:val="21"/>
                <w:szCs w:val="21"/>
                <w:highlight w:val="none"/>
              </w:rPr>
              <w:t>的得5分；</w:t>
            </w:r>
            <w:r>
              <w:rPr>
                <w:rFonts w:hint="eastAsia" w:ascii="宋体" w:hAnsi="宋体" w:eastAsia="宋体" w:cs="宋体"/>
                <w:spacing w:val="8"/>
                <w:sz w:val="21"/>
                <w:szCs w:val="21"/>
                <w:highlight w:val="none"/>
              </w:rPr>
              <w:t>方案内容符合学校实际需求，不影响服务质量，流程设计较为合理，有一定针对性的得</w:t>
            </w:r>
            <w:r>
              <w:rPr>
                <w:rFonts w:hint="eastAsia" w:ascii="宋体" w:hAnsi="宋体" w:eastAsia="宋体" w:cs="宋体"/>
                <w:spacing w:val="5"/>
                <w:sz w:val="21"/>
                <w:szCs w:val="21"/>
                <w:highlight w:val="none"/>
              </w:rPr>
              <w:t>3分；</w:t>
            </w:r>
            <w:r>
              <w:rPr>
                <w:rFonts w:hint="eastAsia" w:ascii="宋体" w:hAnsi="宋体" w:eastAsia="宋体" w:cs="宋体"/>
                <w:spacing w:val="8"/>
                <w:sz w:val="21"/>
                <w:szCs w:val="21"/>
                <w:highlight w:val="none"/>
              </w:rPr>
              <w:t>方案内容基本符合学校实际需求，但有可能影响服务质量，流程设计较为合理，针对性不强的得1分；未提供相关内容的不得</w:t>
            </w:r>
            <w:r>
              <w:rPr>
                <w:rFonts w:hint="eastAsia" w:ascii="宋体" w:hAnsi="宋体" w:eastAsia="宋体" w:cs="宋体"/>
                <w:spacing w:val="-6"/>
                <w:sz w:val="21"/>
                <w:szCs w:val="21"/>
                <w:highlight w:val="none"/>
              </w:rPr>
              <w:t>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76CC45BB">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r>
      <w:tr w14:paraId="24CF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272" w:type="dxa"/>
            <w:tcBorders>
              <w:top w:val="single" w:color="auto" w:sz="4" w:space="0"/>
              <w:left w:val="single" w:color="auto" w:sz="4" w:space="0"/>
              <w:bottom w:val="single" w:color="auto" w:sz="4" w:space="0"/>
              <w:right w:val="single" w:color="auto" w:sz="4" w:space="0"/>
            </w:tcBorders>
            <w:noWrap w:val="0"/>
            <w:vAlign w:val="center"/>
          </w:tcPr>
          <w:p w14:paraId="169275DC">
            <w:pPr>
              <w:pStyle w:val="49"/>
              <w:spacing w:before="135" w:line="360" w:lineRule="auto"/>
              <w:ind w:right="417"/>
              <w:jc w:val="both"/>
              <w:rPr>
                <w:rFonts w:hint="eastAsia" w:ascii="宋体" w:hAnsi="宋体" w:eastAsia="宋体" w:cs="宋体"/>
                <w:b/>
                <w:bCs/>
                <w:sz w:val="21"/>
                <w:szCs w:val="21"/>
                <w:highlight w:val="none"/>
              </w:rPr>
            </w:pPr>
            <w:r>
              <w:rPr>
                <w:rFonts w:hint="eastAsia" w:ascii="宋体" w:hAnsi="宋体" w:eastAsia="宋体" w:cs="宋体"/>
                <w:b/>
                <w:bCs/>
                <w:spacing w:val="6"/>
                <w:sz w:val="21"/>
                <w:szCs w:val="21"/>
                <w:highlight w:val="none"/>
                <w:lang w:val="en-US" w:eastAsia="zh-CN"/>
              </w:rPr>
              <w:t>9.</w:t>
            </w:r>
            <w:r>
              <w:rPr>
                <w:rFonts w:hint="eastAsia" w:ascii="宋体" w:hAnsi="宋体" w:eastAsia="宋体" w:cs="宋体"/>
                <w:b/>
                <w:bCs/>
                <w:spacing w:val="6"/>
                <w:sz w:val="21"/>
                <w:szCs w:val="21"/>
                <w:highlight w:val="none"/>
              </w:rPr>
              <w:t>服务人员方案（5</w:t>
            </w:r>
            <w:r>
              <w:rPr>
                <w:rFonts w:hint="eastAsia" w:ascii="宋体" w:hAnsi="宋体" w:eastAsia="宋体" w:cs="宋体"/>
                <w:b/>
                <w:bCs/>
                <w:spacing w:val="14"/>
                <w:sz w:val="21"/>
                <w:szCs w:val="21"/>
                <w:highlight w:val="none"/>
              </w:rPr>
              <w:t>分）</w:t>
            </w:r>
          </w:p>
          <w:p w14:paraId="7E356E67">
            <w:pPr>
              <w:widowControl/>
              <w:snapToGrid w:val="0"/>
              <w:spacing w:line="360" w:lineRule="auto"/>
              <w:ind w:firstLine="45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spacing w:val="8"/>
                <w:sz w:val="21"/>
                <w:szCs w:val="21"/>
                <w:highlight w:val="none"/>
                <w:lang w:eastAsia="zh-CN"/>
              </w:rPr>
              <w:t>投标人</w:t>
            </w:r>
            <w:r>
              <w:rPr>
                <w:rFonts w:hint="eastAsia" w:ascii="宋体" w:hAnsi="宋体" w:eastAsia="宋体" w:cs="宋体"/>
                <w:spacing w:val="8"/>
                <w:sz w:val="21"/>
                <w:szCs w:val="21"/>
                <w:highlight w:val="none"/>
              </w:rPr>
              <w:t>需结合自身实际提供售后服务机构技术服务人员情况（提供姓名、工作经验、资质证书情况</w:t>
            </w:r>
            <w:r>
              <w:rPr>
                <w:rFonts w:hint="eastAsia" w:ascii="宋体" w:hAnsi="宋体" w:eastAsia="宋体" w:cs="宋体"/>
                <w:spacing w:val="9"/>
                <w:sz w:val="21"/>
                <w:szCs w:val="21"/>
                <w:highlight w:val="none"/>
              </w:rPr>
              <w:t>），</w:t>
            </w:r>
            <w:r>
              <w:rPr>
                <w:rFonts w:hint="eastAsia" w:ascii="宋体" w:hAnsi="宋体" w:eastAsia="宋体" w:cs="宋体"/>
                <w:spacing w:val="8"/>
                <w:sz w:val="21"/>
                <w:szCs w:val="21"/>
                <w:highlight w:val="none"/>
              </w:rPr>
              <w:t>需包含但不限于以下要点：①人员经验；②人员数量。由</w:t>
            </w:r>
            <w:r>
              <w:rPr>
                <w:rFonts w:hint="eastAsia" w:ascii="宋体" w:hAnsi="宋体" w:eastAsia="宋体" w:cs="宋体"/>
                <w:spacing w:val="9"/>
                <w:sz w:val="21"/>
                <w:szCs w:val="21"/>
                <w:highlight w:val="none"/>
              </w:rPr>
              <w:t>评标委员会进行评议：</w:t>
            </w:r>
            <w:r>
              <w:rPr>
                <w:rFonts w:hint="eastAsia" w:ascii="宋体" w:hAnsi="宋体" w:eastAsia="宋体" w:cs="宋体"/>
                <w:spacing w:val="8"/>
                <w:sz w:val="21"/>
                <w:szCs w:val="21"/>
                <w:highlight w:val="none"/>
              </w:rPr>
              <w:t>人员配置合理、人员经验丰富且人员整体素质良好，能顺利完成售后任务的得5分；人员配置基本合理、人员经验及人员整体素质一般，基本能顺利完成售后任务的得3分；人员配置存在缺陷有待</w:t>
            </w:r>
            <w:r>
              <w:rPr>
                <w:rFonts w:hint="eastAsia" w:ascii="宋体" w:hAnsi="宋体" w:eastAsia="宋体" w:cs="宋体"/>
                <w:spacing w:val="7"/>
                <w:sz w:val="21"/>
                <w:szCs w:val="21"/>
                <w:highlight w:val="none"/>
              </w:rPr>
              <w:t>改进，实行上略有欠缺的得1分；</w:t>
            </w:r>
            <w:r>
              <w:rPr>
                <w:rFonts w:hint="eastAsia" w:ascii="宋体" w:hAnsi="宋体" w:eastAsia="宋体" w:cs="宋体"/>
                <w:spacing w:val="8"/>
                <w:sz w:val="21"/>
                <w:szCs w:val="21"/>
                <w:highlight w:val="none"/>
              </w:rPr>
              <w:t>未提供相关内容的不得</w:t>
            </w:r>
            <w:r>
              <w:rPr>
                <w:rFonts w:hint="eastAsia" w:ascii="宋体" w:hAnsi="宋体" w:eastAsia="宋体" w:cs="宋体"/>
                <w:spacing w:val="-6"/>
                <w:sz w:val="21"/>
                <w:szCs w:val="21"/>
                <w:highlight w:val="none"/>
              </w:rPr>
              <w:t>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45692CC0">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r>
      <w:tr w14:paraId="132A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9272" w:type="dxa"/>
            <w:tcBorders>
              <w:top w:val="single" w:color="auto" w:sz="4" w:space="0"/>
              <w:left w:val="single" w:color="auto" w:sz="4" w:space="0"/>
              <w:bottom w:val="single" w:color="auto" w:sz="4" w:space="0"/>
              <w:right w:val="single" w:color="auto" w:sz="4" w:space="0"/>
            </w:tcBorders>
            <w:noWrap w:val="0"/>
            <w:vAlign w:val="center"/>
          </w:tcPr>
          <w:p w14:paraId="7CE55556">
            <w:pPr>
              <w:pStyle w:val="49"/>
              <w:spacing w:before="134" w:line="360" w:lineRule="auto"/>
              <w:jc w:val="both"/>
              <w:rPr>
                <w:rFonts w:hint="eastAsia" w:ascii="宋体" w:hAnsi="宋体" w:eastAsia="宋体" w:cs="宋体"/>
                <w:b/>
                <w:bCs/>
                <w:sz w:val="21"/>
                <w:szCs w:val="21"/>
                <w:highlight w:val="none"/>
              </w:rPr>
            </w:pPr>
            <w:r>
              <w:rPr>
                <w:rFonts w:hint="eastAsia" w:ascii="宋体" w:hAnsi="宋体" w:eastAsia="宋体" w:cs="宋体"/>
                <w:b/>
                <w:bCs/>
                <w:spacing w:val="7"/>
                <w:sz w:val="21"/>
                <w:szCs w:val="21"/>
                <w:highlight w:val="none"/>
                <w:lang w:val="en-US" w:eastAsia="zh-CN"/>
              </w:rPr>
              <w:t>10.</w:t>
            </w:r>
            <w:r>
              <w:rPr>
                <w:rFonts w:hint="eastAsia" w:ascii="宋体" w:hAnsi="宋体" w:eastAsia="宋体" w:cs="宋体"/>
                <w:b/>
                <w:bCs/>
                <w:spacing w:val="7"/>
                <w:sz w:val="21"/>
                <w:szCs w:val="21"/>
                <w:highlight w:val="none"/>
              </w:rPr>
              <w:t>培训方案（5分）</w:t>
            </w:r>
          </w:p>
          <w:p w14:paraId="1BE7A349">
            <w:pPr>
              <w:widowControl/>
              <w:snapToGrid w:val="0"/>
              <w:spacing w:line="360" w:lineRule="auto"/>
              <w:ind w:firstLine="452"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pacing w:val="8"/>
                <w:sz w:val="21"/>
                <w:szCs w:val="21"/>
                <w:highlight w:val="none"/>
              </w:rPr>
              <w:t>根据</w:t>
            </w:r>
            <w:r>
              <w:rPr>
                <w:rFonts w:hint="eastAsia" w:ascii="宋体" w:hAnsi="宋体" w:eastAsia="宋体" w:cs="宋体"/>
                <w:spacing w:val="8"/>
                <w:sz w:val="21"/>
                <w:szCs w:val="21"/>
                <w:highlight w:val="none"/>
                <w:lang w:eastAsia="zh-CN"/>
              </w:rPr>
              <w:t>投标人</w:t>
            </w:r>
            <w:r>
              <w:rPr>
                <w:rFonts w:hint="eastAsia" w:ascii="宋体" w:hAnsi="宋体" w:eastAsia="宋体" w:cs="宋体"/>
                <w:spacing w:val="8"/>
                <w:sz w:val="21"/>
                <w:szCs w:val="21"/>
                <w:highlight w:val="none"/>
              </w:rPr>
              <w:t>提供的培训方案，需包含但不限于以下要点：①培训时间安排；②培训内容；③培训人员数量；④培训次数；⑤培训场地安排。由评标委员会进行</w:t>
            </w:r>
            <w:r>
              <w:rPr>
                <w:rFonts w:hint="eastAsia" w:ascii="宋体" w:hAnsi="宋体" w:eastAsia="宋体" w:cs="宋体"/>
                <w:spacing w:val="10"/>
                <w:sz w:val="21"/>
                <w:szCs w:val="21"/>
                <w:highlight w:val="none"/>
              </w:rPr>
              <w:t>评议：</w:t>
            </w:r>
            <w:r>
              <w:rPr>
                <w:rFonts w:hint="eastAsia" w:ascii="宋体" w:hAnsi="宋体" w:eastAsia="宋体" w:cs="宋体"/>
                <w:spacing w:val="8"/>
                <w:sz w:val="21"/>
                <w:szCs w:val="21"/>
                <w:highlight w:val="none"/>
              </w:rPr>
              <w:t>人员培训方案与学校实际相结合，培训时间安排合理，培训内容符合货物使用要求，培训次数能确保设备实际使用人灵活使用且场地安排合理的得5分；人员培训方案与学校实际相结合，培训时间安排较合理，培训内容较符合货物使用要求，培训次数能确保设备实际使用人灵活使用且场地安排较合理的得3分；人员培训方案不够符合采购需求，培训内容缺</w:t>
            </w:r>
            <w:r>
              <w:rPr>
                <w:rFonts w:hint="eastAsia" w:ascii="宋体" w:hAnsi="宋体" w:eastAsia="宋体" w:cs="宋体"/>
                <w:spacing w:val="7"/>
                <w:sz w:val="21"/>
                <w:szCs w:val="21"/>
                <w:highlight w:val="none"/>
              </w:rPr>
              <w:t>少针对性内容的得1</w:t>
            </w:r>
            <w:r>
              <w:rPr>
                <w:rFonts w:hint="eastAsia" w:ascii="宋体" w:hAnsi="宋体" w:eastAsia="宋体" w:cs="宋体"/>
                <w:spacing w:val="11"/>
                <w:sz w:val="21"/>
                <w:szCs w:val="21"/>
                <w:highlight w:val="none"/>
              </w:rPr>
              <w:t>分；</w:t>
            </w:r>
            <w:r>
              <w:rPr>
                <w:rFonts w:hint="eastAsia" w:ascii="宋体" w:hAnsi="宋体" w:eastAsia="宋体" w:cs="宋体"/>
                <w:spacing w:val="8"/>
                <w:sz w:val="21"/>
                <w:szCs w:val="21"/>
                <w:highlight w:val="none"/>
              </w:rPr>
              <w:t>未提供相关内容的不得</w:t>
            </w:r>
            <w:r>
              <w:rPr>
                <w:rFonts w:hint="eastAsia" w:ascii="宋体" w:hAnsi="宋体" w:eastAsia="宋体" w:cs="宋体"/>
                <w:spacing w:val="-6"/>
                <w:sz w:val="21"/>
                <w:szCs w:val="21"/>
                <w:highlight w:val="none"/>
              </w:rPr>
              <w:t>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633BB78F">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r>
      <w:tr w14:paraId="26A8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72" w:type="dxa"/>
            <w:tcBorders>
              <w:top w:val="single" w:color="auto" w:sz="4" w:space="0"/>
              <w:left w:val="single" w:color="auto" w:sz="4" w:space="0"/>
              <w:bottom w:val="single" w:color="auto" w:sz="4" w:space="0"/>
              <w:right w:val="single" w:color="auto" w:sz="4" w:space="0"/>
            </w:tcBorders>
            <w:noWrap w:val="0"/>
            <w:vAlign w:val="center"/>
          </w:tcPr>
          <w:p w14:paraId="140CAD45">
            <w:pPr>
              <w:pStyle w:val="49"/>
              <w:spacing w:before="140" w:line="360" w:lineRule="auto"/>
              <w:ind w:right="164"/>
              <w:jc w:val="both"/>
              <w:rPr>
                <w:rFonts w:hint="eastAsia" w:ascii="宋体" w:hAnsi="宋体" w:eastAsia="宋体" w:cs="宋体"/>
                <w:b/>
                <w:bCs/>
                <w:sz w:val="21"/>
                <w:szCs w:val="21"/>
                <w:highlight w:val="none"/>
              </w:rPr>
            </w:pPr>
            <w:r>
              <w:rPr>
                <w:rFonts w:hint="eastAsia" w:ascii="宋体" w:hAnsi="宋体" w:eastAsia="宋体" w:cs="宋体"/>
                <w:b/>
                <w:bCs/>
                <w:spacing w:val="6"/>
                <w:sz w:val="21"/>
                <w:szCs w:val="21"/>
                <w:highlight w:val="none"/>
                <w:lang w:val="en-US" w:eastAsia="zh-CN"/>
              </w:rPr>
              <w:t>11.</w:t>
            </w:r>
            <w:r>
              <w:rPr>
                <w:rFonts w:hint="eastAsia" w:ascii="宋体" w:hAnsi="宋体" w:eastAsia="宋体" w:cs="宋体"/>
                <w:b/>
                <w:bCs/>
                <w:spacing w:val="6"/>
                <w:sz w:val="21"/>
                <w:szCs w:val="21"/>
                <w:highlight w:val="none"/>
              </w:rPr>
              <w:t>质保期后的维修成本</w:t>
            </w:r>
            <w:r>
              <w:rPr>
                <w:rFonts w:hint="eastAsia" w:ascii="宋体" w:hAnsi="宋体" w:eastAsia="宋体" w:cs="宋体"/>
                <w:b/>
                <w:bCs/>
                <w:spacing w:val="9"/>
                <w:sz w:val="21"/>
                <w:szCs w:val="21"/>
                <w:highlight w:val="none"/>
              </w:rPr>
              <w:t>方案（</w:t>
            </w:r>
            <w:r>
              <w:rPr>
                <w:rFonts w:hint="eastAsia" w:ascii="宋体" w:hAnsi="宋体" w:eastAsia="宋体" w:cs="宋体"/>
                <w:b/>
                <w:bCs/>
                <w:spacing w:val="9"/>
                <w:sz w:val="21"/>
                <w:szCs w:val="21"/>
                <w:highlight w:val="none"/>
                <w:lang w:val="en-US" w:eastAsia="zh-CN"/>
              </w:rPr>
              <w:t>5</w:t>
            </w:r>
            <w:r>
              <w:rPr>
                <w:rFonts w:hint="eastAsia" w:ascii="宋体" w:hAnsi="宋体" w:eastAsia="宋体" w:cs="宋体"/>
                <w:b/>
                <w:bCs/>
                <w:spacing w:val="9"/>
                <w:sz w:val="21"/>
                <w:szCs w:val="21"/>
                <w:highlight w:val="none"/>
              </w:rPr>
              <w:t>分）</w:t>
            </w:r>
          </w:p>
          <w:p w14:paraId="73CC78AA">
            <w:pPr>
              <w:widowControl/>
              <w:snapToGrid w:val="0"/>
              <w:spacing w:line="360" w:lineRule="auto"/>
              <w:ind w:firstLine="452"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pacing w:val="8"/>
                <w:sz w:val="21"/>
                <w:szCs w:val="21"/>
                <w:highlight w:val="none"/>
              </w:rPr>
              <w:t>根据</w:t>
            </w:r>
            <w:r>
              <w:rPr>
                <w:rFonts w:hint="eastAsia" w:ascii="宋体" w:hAnsi="宋体" w:eastAsia="宋体" w:cs="宋体"/>
                <w:spacing w:val="8"/>
                <w:sz w:val="21"/>
                <w:szCs w:val="21"/>
                <w:highlight w:val="none"/>
                <w:lang w:eastAsia="zh-CN"/>
              </w:rPr>
              <w:t>投标人</w:t>
            </w:r>
            <w:r>
              <w:rPr>
                <w:rFonts w:hint="eastAsia" w:ascii="宋体" w:hAnsi="宋体" w:eastAsia="宋体" w:cs="宋体"/>
                <w:spacing w:val="8"/>
                <w:sz w:val="21"/>
                <w:szCs w:val="21"/>
                <w:highlight w:val="none"/>
              </w:rPr>
              <w:t>提供的维修成本方案，需包含但不限于以下要点：①提供的保修价格、设备配件价格、维修服务费；②维修人员配备；③维修完成时间；④维修质量的保障。由评标委员会</w:t>
            </w:r>
            <w:r>
              <w:rPr>
                <w:rFonts w:hint="eastAsia" w:ascii="宋体" w:hAnsi="宋体" w:eastAsia="宋体" w:cs="宋体"/>
                <w:spacing w:val="9"/>
                <w:sz w:val="21"/>
                <w:szCs w:val="21"/>
                <w:highlight w:val="none"/>
              </w:rPr>
              <w:t>进行评议：</w:t>
            </w:r>
            <w:r>
              <w:rPr>
                <w:rFonts w:hint="eastAsia" w:ascii="宋体" w:hAnsi="宋体" w:eastAsia="宋体" w:cs="宋体"/>
                <w:spacing w:val="8"/>
                <w:sz w:val="21"/>
                <w:szCs w:val="21"/>
                <w:highlight w:val="none"/>
              </w:rPr>
              <w:t>维修成本方案与货物实际相结合，提供的保修</w:t>
            </w:r>
            <w:r>
              <w:rPr>
                <w:rFonts w:hint="eastAsia" w:ascii="宋体" w:hAnsi="宋体" w:eastAsia="宋体" w:cs="宋体"/>
                <w:spacing w:val="4"/>
                <w:sz w:val="21"/>
                <w:szCs w:val="21"/>
                <w:highlight w:val="none"/>
              </w:rPr>
              <w:t>价格、设备配件价格、</w:t>
            </w:r>
            <w:r>
              <w:rPr>
                <w:rFonts w:hint="eastAsia" w:ascii="宋体" w:hAnsi="宋体" w:eastAsia="宋体" w:cs="宋体"/>
                <w:spacing w:val="8"/>
                <w:sz w:val="21"/>
                <w:szCs w:val="21"/>
                <w:highlight w:val="none"/>
              </w:rPr>
              <w:t>维修服务费合理，维修人员配备全面，维修完成时间及时且能保障维</w:t>
            </w:r>
            <w:r>
              <w:rPr>
                <w:rFonts w:hint="eastAsia" w:ascii="宋体" w:hAnsi="宋体" w:eastAsia="宋体" w:cs="宋体"/>
                <w:spacing w:val="3"/>
                <w:sz w:val="21"/>
                <w:szCs w:val="21"/>
                <w:highlight w:val="none"/>
              </w:rPr>
              <w:t xml:space="preserve"> </w:t>
            </w:r>
            <w:r>
              <w:rPr>
                <w:rFonts w:hint="eastAsia" w:ascii="宋体" w:hAnsi="宋体" w:eastAsia="宋体" w:cs="宋体"/>
                <w:spacing w:val="8"/>
                <w:sz w:val="21"/>
                <w:szCs w:val="21"/>
                <w:highlight w:val="none"/>
              </w:rPr>
              <w:t>修质量的得</w:t>
            </w:r>
            <w:r>
              <w:rPr>
                <w:rFonts w:hint="eastAsia" w:ascii="宋体" w:hAnsi="宋体" w:eastAsia="宋体" w:cs="宋体"/>
                <w:spacing w:val="8"/>
                <w:sz w:val="21"/>
                <w:szCs w:val="21"/>
                <w:highlight w:val="none"/>
                <w:lang w:val="en-US" w:eastAsia="zh-CN"/>
              </w:rPr>
              <w:t>5</w:t>
            </w:r>
            <w:r>
              <w:rPr>
                <w:rFonts w:hint="eastAsia" w:ascii="宋体" w:hAnsi="宋体" w:eastAsia="宋体" w:cs="宋体"/>
                <w:spacing w:val="8"/>
                <w:sz w:val="21"/>
                <w:szCs w:val="21"/>
                <w:highlight w:val="none"/>
              </w:rPr>
              <w:t>分；提供的保修价格、设备</w:t>
            </w:r>
            <w:r>
              <w:rPr>
                <w:rFonts w:hint="eastAsia" w:ascii="宋体" w:hAnsi="宋体" w:eastAsia="宋体" w:cs="宋体"/>
                <w:spacing w:val="2"/>
                <w:sz w:val="21"/>
                <w:szCs w:val="21"/>
                <w:highlight w:val="none"/>
              </w:rPr>
              <w:t xml:space="preserve"> </w:t>
            </w:r>
            <w:r>
              <w:rPr>
                <w:rFonts w:hint="eastAsia" w:ascii="宋体" w:hAnsi="宋体" w:eastAsia="宋体" w:cs="宋体"/>
                <w:spacing w:val="8"/>
                <w:sz w:val="21"/>
                <w:szCs w:val="21"/>
                <w:highlight w:val="none"/>
              </w:rPr>
              <w:t>配件价格及维修服务费较合理，维修人员配备较全面，维修完成时间及时且能保障维修质量的得3分；未能明确阐述维修的各项价格，维修人员配备存在缺陷，有待改进的</w:t>
            </w:r>
            <w:r>
              <w:rPr>
                <w:rFonts w:hint="eastAsia" w:ascii="宋体" w:hAnsi="宋体" w:eastAsia="宋体" w:cs="宋体"/>
                <w:spacing w:val="9"/>
                <w:sz w:val="21"/>
                <w:szCs w:val="21"/>
                <w:highlight w:val="none"/>
              </w:rPr>
              <w:t>得1分；</w:t>
            </w:r>
            <w:r>
              <w:rPr>
                <w:rFonts w:hint="eastAsia" w:ascii="宋体" w:hAnsi="宋体" w:eastAsia="宋体" w:cs="宋体"/>
                <w:spacing w:val="8"/>
                <w:sz w:val="21"/>
                <w:szCs w:val="21"/>
                <w:highlight w:val="none"/>
              </w:rPr>
              <w:t>未提供相关内容的不得</w:t>
            </w:r>
            <w:r>
              <w:rPr>
                <w:rFonts w:hint="eastAsia" w:ascii="宋体" w:hAnsi="宋体" w:eastAsia="宋体" w:cs="宋体"/>
                <w:spacing w:val="-6"/>
                <w:sz w:val="21"/>
                <w:szCs w:val="21"/>
                <w:highlight w:val="none"/>
              </w:rPr>
              <w:t>分。</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7B69A829">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r>
      <w:tr w14:paraId="1AD9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0" w:type="pct"/>
            <w:tcBorders>
              <w:top w:val="single" w:color="auto" w:sz="4" w:space="0"/>
              <w:left w:val="single" w:color="auto" w:sz="4" w:space="0"/>
              <w:bottom w:val="single" w:color="auto" w:sz="4" w:space="0"/>
              <w:right w:val="single" w:color="auto" w:sz="4" w:space="0"/>
            </w:tcBorders>
            <w:noWrap w:val="0"/>
            <w:vAlign w:val="center"/>
          </w:tcPr>
          <w:p w14:paraId="0290015F">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left="211" w:hanging="211" w:hanging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三、价格</w:t>
            </w:r>
            <w:r>
              <w:rPr>
                <w:rFonts w:hint="eastAsia" w:ascii="宋体" w:hAnsi="宋体" w:eastAsia="宋体" w:cs="宋体"/>
                <w:b/>
                <w:bCs/>
                <w:color w:val="auto"/>
                <w:sz w:val="21"/>
                <w:szCs w:val="21"/>
                <w:highlight w:val="none"/>
                <w:lang w:eastAsia="zh-CN"/>
              </w:rPr>
              <w:t>部分</w:t>
            </w:r>
            <w:r>
              <w:rPr>
                <w:rFonts w:hint="eastAsia" w:ascii="宋体" w:hAnsi="宋体" w:eastAsia="宋体" w:cs="宋体"/>
                <w:b/>
                <w:bCs/>
                <w:color w:val="auto"/>
                <w:sz w:val="21"/>
                <w:szCs w:val="21"/>
                <w:highlight w:val="none"/>
              </w:rPr>
              <w:t>(30分)</w:t>
            </w:r>
          </w:p>
          <w:p w14:paraId="4FCC8E6D">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满足招标文件要求且投标报价最低的投标人的价格为评标基准价，其价格分为满分。其他投标人的价格分，统一按照下列公式计算：</w:t>
            </w:r>
          </w:p>
          <w:p w14:paraId="03F91BC4">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投标报价得分=(评标基准价／投标报价)×30%×100</w:t>
            </w:r>
            <w:r>
              <w:rPr>
                <w:rFonts w:hint="eastAsia" w:ascii="宋体" w:hAnsi="宋体" w:eastAsia="宋体" w:cs="宋体"/>
                <w:color w:val="auto"/>
                <w:spacing w:val="6"/>
                <w:sz w:val="21"/>
                <w:szCs w:val="21"/>
                <w:highlight w:val="none"/>
              </w:rPr>
              <w:t>。</w:t>
            </w:r>
          </w:p>
          <w:p w14:paraId="4E0D2DBF">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因落实政府采购政策进行价格调整的，已调整后的价格计算评标基准价和投标报价。</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68D6E954">
            <w:pPr>
              <w:keepNext w:val="0"/>
              <w:keepLines w:val="0"/>
              <w:pageBreakBefore w:val="0"/>
              <w:shd w:val="clear" w:color="auto" w:fill="auto"/>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bl>
    <w:p w14:paraId="7B858E6A">
      <w:pPr>
        <w:keepNext w:val="0"/>
        <w:keepLines w:val="0"/>
        <w:pageBreakBefore w:val="0"/>
        <w:widowControl/>
        <w:kinsoku/>
        <w:wordWrap/>
        <w:overflowPunct/>
        <w:topLinePunct w:val="0"/>
        <w:autoSpaceDE/>
        <w:autoSpaceDN/>
        <w:bidi w:val="0"/>
        <w:adjustRightInd/>
        <w:snapToGrid/>
        <w:spacing w:line="400"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注：（1）招标文件内没有规定的评标标准不得作为评审的依据；</w:t>
      </w:r>
    </w:p>
    <w:p w14:paraId="5108621F">
      <w:pPr>
        <w:keepNext w:val="0"/>
        <w:keepLines w:val="0"/>
        <w:pageBreakBefore w:val="0"/>
        <w:widowControl/>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（2）所有打分分值小数位按四舍五入保留2位计算。</w:t>
      </w:r>
    </w:p>
    <w:p w14:paraId="24629B6B">
      <w:pPr>
        <w:keepNext/>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3BEFCB0">
      <w:pPr>
        <w:keepNext/>
        <w:tabs>
          <w:tab w:val="left" w:pos="2070"/>
          <w:tab w:val="center" w:pos="4365"/>
        </w:tabs>
        <w:adjustRightInd w:val="0"/>
        <w:snapToGrid w:val="0"/>
        <w:spacing w:line="360" w:lineRule="auto"/>
        <w:ind w:firstLine="643"/>
        <w:jc w:val="center"/>
        <w:outlineLvl w:val="0"/>
        <w:rPr>
          <w:rFonts w:hint="eastAsia" w:ascii="宋体" w:hAnsi="宋体" w:eastAsia="宋体" w:cs="宋体"/>
          <w:b/>
          <w:color w:val="auto"/>
          <w:kern w:val="0"/>
          <w:sz w:val="32"/>
          <w:szCs w:val="32"/>
          <w:highlight w:val="none"/>
        </w:rPr>
      </w:pPr>
      <w:bookmarkStart w:id="42" w:name="_Toc180347469"/>
      <w:r>
        <w:rPr>
          <w:rFonts w:hint="eastAsia" w:ascii="宋体" w:hAnsi="宋体" w:eastAsia="宋体" w:cs="宋体"/>
          <w:b/>
          <w:color w:val="auto"/>
          <w:kern w:val="0"/>
          <w:sz w:val="32"/>
          <w:szCs w:val="32"/>
          <w:highlight w:val="none"/>
        </w:rPr>
        <w:t>第五部分  商务、技术要求</w:t>
      </w:r>
      <w:bookmarkEnd w:id="42"/>
    </w:p>
    <w:p w14:paraId="0EAF3EF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一、项目概述及用途：</w:t>
      </w:r>
    </w:p>
    <w:p w14:paraId="6027C8BC">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firstLine="420" w:firstLineChars="175"/>
        <w:textAlignment w:val="auto"/>
        <w:outlineLvl w:val="9"/>
        <w:rPr>
          <w:rFonts w:hint="eastAsia" w:ascii="宋体" w:hAnsi="宋体" w:cs="宋体"/>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超稳激光器系统用于作为光学频率梳的超稳光学参考源，提升双光梳系统的相干性，使得系统能够在一次测试中得到想要的宽光谱数据，且有望突破现有的百兆赫兹分辨率，理论极限低至赫兹量级。有助于增强科研成果产出能力，持续推动本课题组科研工作的发展，提升科研平台技术能力，助力本学科领域在中红外双光梳气体测量方向取得突破进展。微弱信号探测器在量子计算、超快光学等前沿领域，不仅能精确生成亚皮秒级复杂调制波形，还支持多通道信号的严格同步输出和动态重构，并且其实时波形更新能力和智能预失真补偿技术，为里德堡原子操控等关键实验提供了前所未有的信号保真度保障。太赫兹信号源是实现微波至太赫兹波段高稳定、高保真信号输出的核心部件，广泛应用于太赫兹传感和成像、量子传感、材料探测等前沿科研领域。其高速、宽带、稳定的输出特性为太赫兹激发过程、里德堡原子太赫兹感知及远场成像等研究提供了可控、可靠的信号支撑，可用于研究基于里德堡原子的太赫兹传感和成像技术，是搭建新型太赫兹实验平台的关键技术基础。飞秒-纳秒激光加工系统能够为激光微纳加工、光谱学、荧光科学、量子点发光、量子通讯和存储等研究方向以及物理学、光学教学提供全波段、功率连续可调的激发光源。任意波形发生器是一种用来产生高频高带宽信号的仪器设备，它通常被广泛应用于无线通信、雷达、卫星通信、军事电</w:t>
      </w:r>
      <w:r>
        <w:rPr>
          <w:rFonts w:hint="eastAsia" w:ascii="宋体" w:hAnsi="宋体" w:cs="宋体"/>
          <w:color w:val="auto"/>
          <w:kern w:val="0"/>
          <w:sz w:val="24"/>
          <w:szCs w:val="24"/>
          <w:highlight w:val="none"/>
          <w:lang w:eastAsia="zh-CN"/>
        </w:rPr>
        <w:t>子设备、医疗设备等领域。</w:t>
      </w:r>
    </w:p>
    <w:p w14:paraId="3F4CE408">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b/>
          <w:sz w:val="24"/>
          <w:highlight w:val="none"/>
        </w:rPr>
      </w:pPr>
      <w:bookmarkStart w:id="43" w:name="_Toc180347470"/>
      <w:r>
        <w:rPr>
          <w:b/>
          <w:kern w:val="0"/>
          <w:sz w:val="24"/>
          <w:highlight w:val="none"/>
        </w:rPr>
        <w:t>二、</w:t>
      </w:r>
      <w:r>
        <w:rPr>
          <w:b/>
          <w:sz w:val="24"/>
          <w:highlight w:val="none"/>
        </w:rPr>
        <w:t>商务要求</w:t>
      </w:r>
    </w:p>
    <w:p w14:paraId="69A71C04">
      <w:pPr>
        <w:pStyle w:val="16"/>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ascii="Times New Roman" w:hAnsi="Times New Roman"/>
          <w:b/>
          <w:bCs/>
          <w:sz w:val="24"/>
          <w:szCs w:val="24"/>
          <w:highlight w:val="none"/>
        </w:rPr>
      </w:pPr>
      <w:r>
        <w:rPr>
          <w:rFonts w:hint="eastAsia" w:ascii="Times New Roman" w:hAnsi="Times New Roman"/>
          <w:b/>
          <w:bCs/>
          <w:sz w:val="24"/>
          <w:szCs w:val="24"/>
          <w:highlight w:val="none"/>
        </w:rPr>
        <w:t>1、是否专门面向中小企业：</w:t>
      </w:r>
      <w:r>
        <w:rPr>
          <w:rFonts w:hint="eastAsia" w:ascii="Times New Roman" w:hAnsi="Times New Roman"/>
          <w:b w:val="0"/>
          <w:bCs w:val="0"/>
          <w:sz w:val="24"/>
          <w:szCs w:val="24"/>
          <w:highlight w:val="none"/>
        </w:rPr>
        <w:t>否</w:t>
      </w:r>
    </w:p>
    <w:p w14:paraId="036296F9">
      <w:pPr>
        <w:pStyle w:val="16"/>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Times New Roman" w:hAnsi="Times New Roman" w:eastAsia="宋体"/>
          <w:b/>
          <w:bCs/>
          <w:sz w:val="24"/>
          <w:szCs w:val="24"/>
          <w:highlight w:val="none"/>
          <w:lang w:eastAsia="zh-CN"/>
        </w:rPr>
      </w:pPr>
      <w:r>
        <w:rPr>
          <w:rFonts w:hint="eastAsia" w:ascii="Times New Roman" w:hAnsi="Times New Roman"/>
          <w:b/>
          <w:bCs/>
          <w:sz w:val="24"/>
          <w:szCs w:val="24"/>
          <w:highlight w:val="none"/>
        </w:rPr>
        <w:t>2、特定资格要求：</w:t>
      </w:r>
      <w:r>
        <w:rPr>
          <w:rFonts w:hint="eastAsia" w:ascii="Times New Roman" w:hAnsi="Times New Roman"/>
          <w:b w:val="0"/>
          <w:bCs w:val="0"/>
          <w:sz w:val="24"/>
          <w:szCs w:val="24"/>
          <w:highlight w:val="none"/>
          <w:lang w:val="en-US" w:eastAsia="zh-CN"/>
        </w:rPr>
        <w:t>无</w:t>
      </w:r>
    </w:p>
    <w:p w14:paraId="41FFBF26">
      <w:pPr>
        <w:pStyle w:val="16"/>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ascii="Times New Roman" w:hAnsi="Times New Roman"/>
          <w:b/>
          <w:bCs/>
          <w:sz w:val="24"/>
          <w:szCs w:val="24"/>
          <w:highlight w:val="none"/>
        </w:rPr>
      </w:pPr>
      <w:r>
        <w:rPr>
          <w:rFonts w:ascii="Times New Roman" w:hAnsi="Times New Roman"/>
          <w:b/>
          <w:bCs/>
          <w:sz w:val="24"/>
          <w:szCs w:val="24"/>
          <w:highlight w:val="none"/>
        </w:rPr>
        <w:t>3、合同履行期限：</w:t>
      </w:r>
      <w:r>
        <w:rPr>
          <w:rFonts w:hint="eastAsia" w:ascii="Times New Roman" w:hAnsi="Times New Roman"/>
          <w:b w:val="0"/>
          <w:bCs w:val="0"/>
          <w:sz w:val="24"/>
          <w:szCs w:val="24"/>
          <w:highlight w:val="none"/>
        </w:rPr>
        <w:t>合同签订之日起360日内</w:t>
      </w:r>
    </w:p>
    <w:p w14:paraId="428CABC5">
      <w:pPr>
        <w:pStyle w:val="16"/>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b/>
          <w:bCs/>
          <w:sz w:val="24"/>
          <w:szCs w:val="24"/>
          <w:highlight w:val="none"/>
          <w:lang w:val="en-US" w:eastAsia="zh-CN"/>
        </w:rPr>
      </w:pPr>
      <w:r>
        <w:rPr>
          <w:rFonts w:ascii="Times New Roman" w:hAnsi="Times New Roman"/>
          <w:b/>
          <w:bCs/>
          <w:sz w:val="24"/>
          <w:szCs w:val="24"/>
          <w:highlight w:val="none"/>
        </w:rPr>
        <w:t>4、交货（服务）地点：</w:t>
      </w:r>
      <w:r>
        <w:rPr>
          <w:rFonts w:hint="eastAsia" w:ascii="Times New Roman" w:hAnsi="Times New Roman"/>
          <w:b w:val="0"/>
          <w:bCs w:val="0"/>
          <w:sz w:val="24"/>
          <w:szCs w:val="24"/>
          <w:highlight w:val="none"/>
        </w:rPr>
        <w:t>用户指定地点</w:t>
      </w:r>
    </w:p>
    <w:p w14:paraId="343AF66A">
      <w:pPr>
        <w:pStyle w:val="16"/>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Times New Roman" w:hAnsi="Times New Roman"/>
          <w:b w:val="0"/>
          <w:bCs w:val="0"/>
          <w:sz w:val="24"/>
          <w:szCs w:val="24"/>
          <w:highlight w:val="none"/>
          <w:lang w:val="en-US" w:eastAsia="zh-CN"/>
        </w:rPr>
      </w:pPr>
      <w:r>
        <w:rPr>
          <w:rFonts w:ascii="Times New Roman" w:hAnsi="Times New Roman"/>
          <w:b/>
          <w:bCs/>
          <w:sz w:val="24"/>
          <w:szCs w:val="24"/>
          <w:highlight w:val="none"/>
        </w:rPr>
        <w:t>5</w:t>
      </w:r>
      <w:r>
        <w:rPr>
          <w:rFonts w:hint="eastAsia" w:ascii="Times New Roman" w:hAnsi="Times New Roman"/>
          <w:b/>
          <w:bCs/>
          <w:sz w:val="24"/>
          <w:szCs w:val="24"/>
          <w:highlight w:val="none"/>
        </w:rPr>
        <w:t>、质量标准：</w:t>
      </w:r>
      <w:r>
        <w:rPr>
          <w:rFonts w:hint="eastAsia" w:ascii="Times New Roman" w:hAnsi="Times New Roman"/>
          <w:b w:val="0"/>
          <w:bCs w:val="0"/>
          <w:sz w:val="24"/>
          <w:szCs w:val="24"/>
          <w:highlight w:val="none"/>
        </w:rPr>
        <w:t>符合国家及行业相关质量标准并通过采购人验收</w:t>
      </w:r>
    </w:p>
    <w:p w14:paraId="611CB407">
      <w:pPr>
        <w:pStyle w:val="16"/>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b/>
          <w:bCs/>
          <w:sz w:val="24"/>
          <w:szCs w:val="24"/>
          <w:highlight w:val="none"/>
          <w:lang w:val="en-US" w:eastAsia="zh-CN"/>
        </w:rPr>
      </w:pPr>
      <w:r>
        <w:rPr>
          <w:rFonts w:ascii="Times New Roman" w:hAnsi="Times New Roman"/>
          <w:b/>
          <w:bCs/>
          <w:sz w:val="24"/>
          <w:szCs w:val="24"/>
          <w:highlight w:val="none"/>
        </w:rPr>
        <w:t>6</w:t>
      </w:r>
      <w:r>
        <w:rPr>
          <w:rFonts w:hint="eastAsia" w:ascii="Times New Roman" w:hAnsi="Times New Roman"/>
          <w:b/>
          <w:bCs/>
          <w:sz w:val="24"/>
          <w:szCs w:val="24"/>
          <w:highlight w:val="none"/>
        </w:rPr>
        <w:t>、质保期限：</w:t>
      </w:r>
      <w:bookmarkStart w:id="44" w:name="OLE_LINK1"/>
      <w:r>
        <w:rPr>
          <w:rFonts w:hint="eastAsia" w:ascii="Times New Roman" w:hAnsi="Times New Roman"/>
          <w:b w:val="0"/>
          <w:bCs w:val="0"/>
          <w:sz w:val="24"/>
          <w:szCs w:val="24"/>
          <w:highlight w:val="none"/>
          <w:lang w:val="en-US" w:eastAsia="zh-CN"/>
        </w:rPr>
        <w:t>矢量网络分析仪、微弱信号探测器、微弱信号探测器、太赫兹信号源、任意波形发生器验收合格后3年</w:t>
      </w:r>
      <w:bookmarkEnd w:id="44"/>
      <w:r>
        <w:rPr>
          <w:rFonts w:hint="eastAsia" w:ascii="Times New Roman" w:hAnsi="Times New Roman"/>
          <w:b w:val="0"/>
          <w:bCs w:val="0"/>
          <w:sz w:val="24"/>
          <w:szCs w:val="24"/>
          <w:highlight w:val="none"/>
          <w:lang w:val="en-US" w:eastAsia="zh-CN"/>
        </w:rPr>
        <w:t>，飞秒-纳秒激光加工系统、YAG激光器、1064nm单频激光器、超稳激光器系统验收合格后1年。</w:t>
      </w:r>
    </w:p>
    <w:p w14:paraId="05D65C64">
      <w:pPr>
        <w:pStyle w:val="16"/>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Times New Roman" w:hAnsi="Times New Roman" w:eastAsia="宋体"/>
          <w:b/>
          <w:bCs/>
          <w:sz w:val="24"/>
          <w:szCs w:val="24"/>
          <w:highlight w:val="none"/>
          <w:lang w:eastAsia="zh-CN"/>
        </w:rPr>
      </w:pPr>
      <w:r>
        <w:rPr>
          <w:rFonts w:ascii="Times New Roman" w:hAnsi="Times New Roman"/>
          <w:b/>
          <w:bCs/>
          <w:sz w:val="24"/>
          <w:szCs w:val="24"/>
          <w:highlight w:val="none"/>
        </w:rPr>
        <w:t>7、付款方式：</w:t>
      </w:r>
      <w:r>
        <w:rPr>
          <w:rFonts w:hint="eastAsia" w:ascii="Times New Roman" w:hAnsi="Times New Roman"/>
          <w:b w:val="0"/>
          <w:bCs w:val="0"/>
          <w:sz w:val="24"/>
          <w:szCs w:val="24"/>
          <w:highlight w:val="none"/>
          <w:lang w:val="en-US" w:eastAsia="zh-CN"/>
        </w:rPr>
        <w:t>采购进口货物的，签订合同后供方应向需方提供货物进口装运单据，由需方审核装运单据无误后30日内向供方支付90%货款，需方签署质量验收报告之日起30日内支付剩余10%货款。</w:t>
      </w:r>
    </w:p>
    <w:p w14:paraId="0463E09C">
      <w:pPr>
        <w:pStyle w:val="16"/>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Times New Roman" w:hAnsi="Times New Roman" w:eastAsia="宋体" w:cs="Times New Roman"/>
          <w:b w:val="0"/>
          <w:bCs w:val="0"/>
          <w:sz w:val="24"/>
          <w:szCs w:val="24"/>
          <w:highlight w:val="none"/>
        </w:rPr>
      </w:pPr>
      <w:r>
        <w:rPr>
          <w:rFonts w:ascii="Times New Roman" w:hAnsi="Times New Roman"/>
          <w:b/>
          <w:bCs/>
          <w:sz w:val="24"/>
          <w:szCs w:val="24"/>
          <w:highlight w:val="none"/>
        </w:rPr>
        <w:t>8、履约保证金：</w:t>
      </w:r>
      <w:r>
        <w:rPr>
          <w:rFonts w:hint="eastAsia" w:ascii="Times New Roman" w:hAnsi="Times New Roman"/>
          <w:b w:val="0"/>
          <w:bCs w:val="0"/>
          <w:sz w:val="24"/>
          <w:szCs w:val="24"/>
          <w:highlight w:val="none"/>
        </w:rPr>
        <w:t>中</w:t>
      </w:r>
      <w:r>
        <w:rPr>
          <w:rFonts w:hint="eastAsia" w:ascii="Times New Roman" w:hAnsi="Times New Roman"/>
          <w:b w:val="0"/>
          <w:bCs w:val="0"/>
          <w:sz w:val="24"/>
          <w:szCs w:val="24"/>
          <w:highlight w:val="none"/>
          <w:lang w:val="en-US" w:eastAsia="zh-CN"/>
        </w:rPr>
        <w:t>标</w:t>
      </w:r>
      <w:r>
        <w:rPr>
          <w:rFonts w:hint="eastAsia" w:ascii="Times New Roman" w:hAnsi="Times New Roman"/>
          <w:b w:val="0"/>
          <w:bCs w:val="0"/>
          <w:sz w:val="24"/>
          <w:szCs w:val="24"/>
          <w:highlight w:val="none"/>
        </w:rPr>
        <w:t>供应商签订合同前应向采购单位交付合同总金额3%作为合同履约保证金，项目验收合格一年后无质量问题无息退还</w:t>
      </w:r>
      <w:r>
        <w:rPr>
          <w:rFonts w:hint="eastAsia" w:ascii="Times New Roman" w:hAnsi="Times New Roman"/>
          <w:b w:val="0"/>
          <w:bCs w:val="0"/>
          <w:sz w:val="24"/>
          <w:szCs w:val="24"/>
          <w:highlight w:val="none"/>
          <w:lang w:eastAsia="zh-CN"/>
        </w:rPr>
        <w:t>。</w:t>
      </w:r>
    </w:p>
    <w:p w14:paraId="7D0AE3CD">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rPr>
          <w:rFonts w:hint="eastAsia" w:ascii="Times New Roman" w:hAnsi="Times New Roman" w:eastAsia="宋体" w:cs="Times New Roman"/>
          <w:b/>
          <w:bCs/>
          <w:sz w:val="24"/>
          <w:szCs w:val="24"/>
          <w:highlight w:val="none"/>
        </w:rPr>
      </w:pPr>
      <w:r>
        <w:rPr>
          <w:rFonts w:hint="eastAsia" w:ascii="Times New Roman" w:hAnsi="Times New Roman" w:cs="Times New Roman"/>
          <w:b/>
          <w:bCs/>
          <w:sz w:val="24"/>
          <w:szCs w:val="24"/>
          <w:highlight w:val="none"/>
          <w:lang w:val="en-US" w:eastAsia="zh-CN"/>
        </w:rPr>
        <w:t>9</w:t>
      </w:r>
      <w:r>
        <w:rPr>
          <w:rFonts w:hint="eastAsia" w:ascii="Times New Roman" w:hAnsi="Times New Roman" w:eastAsia="宋体" w:cs="Times New Roman"/>
          <w:b/>
          <w:bCs/>
          <w:sz w:val="24"/>
          <w:szCs w:val="24"/>
          <w:highlight w:val="none"/>
        </w:rPr>
        <w:t>、服务要求：</w:t>
      </w:r>
    </w:p>
    <w:p w14:paraId="6E50390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（1）供应商应向采购人提供相应免费培训，直至采购人相关操作人员完全熟练掌握。</w:t>
      </w:r>
    </w:p>
    <w:p w14:paraId="410570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 xml:space="preserve">（2）培训地点和具体时间由采购人与供应商协商指定。 </w:t>
      </w:r>
    </w:p>
    <w:p w14:paraId="2F9BD2A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（3）需针对本项目制定详细的培训方案，包括培训计划、培训方式、培训内容、培训目标等内容。</w:t>
      </w:r>
    </w:p>
    <w:p w14:paraId="218E3975">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10、验收标准：</w:t>
      </w:r>
    </w:p>
    <w:p w14:paraId="7857970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（1）供方提交的货物应符合合同中所记载的详细配置、技术参数及性能，并应附有此类货物完整、详细的技术资料和说明文件。</w:t>
      </w:r>
    </w:p>
    <w:p w14:paraId="6BFE9D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Times New Roman" w:hAnsi="Times New Roman" w:eastAsia="宋体" w:cs="Times New Roman"/>
          <w:b w:val="0"/>
          <w:bCs w:val="0"/>
          <w:sz w:val="24"/>
          <w:szCs w:val="24"/>
          <w:highlight w:val="none"/>
        </w:rPr>
        <w:t>（2）货物整体运行指标符合合同附件约定的内容并满足国家相关标准及行业规范。</w:t>
      </w:r>
      <w:r>
        <w:rPr>
          <w:rFonts w:ascii="Times New Roman" w:hAnsi="Times New Roman"/>
          <w:b/>
          <w:sz w:val="24"/>
          <w:szCs w:val="24"/>
          <w:highlight w:val="none"/>
        </w:rPr>
        <w:t>三、技术要求</w:t>
      </w:r>
    </w:p>
    <w:tbl>
      <w:tblPr>
        <w:tblStyle w:val="20"/>
        <w:tblpPr w:leftFromText="180" w:rightFromText="180" w:vertAnchor="text" w:horzAnchor="page" w:tblpXSpec="center" w:tblpY="26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350"/>
        <w:gridCol w:w="405"/>
        <w:gridCol w:w="510"/>
        <w:gridCol w:w="1080"/>
        <w:gridCol w:w="4905"/>
        <w:gridCol w:w="658"/>
      </w:tblGrid>
      <w:tr w14:paraId="4AD2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05F9AAEE">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序号</w:t>
            </w:r>
          </w:p>
        </w:tc>
        <w:tc>
          <w:tcPr>
            <w:tcW w:w="1350" w:type="dxa"/>
            <w:vAlign w:val="center"/>
          </w:tcPr>
          <w:p w14:paraId="561F2B53">
            <w:pPr>
              <w:widowControl/>
              <w:snapToGrid w:val="0"/>
              <w:spacing w:line="240" w:lineRule="atLeast"/>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标的名称</w:t>
            </w:r>
          </w:p>
        </w:tc>
        <w:tc>
          <w:tcPr>
            <w:tcW w:w="405" w:type="dxa"/>
            <w:vAlign w:val="center"/>
          </w:tcPr>
          <w:p w14:paraId="04CDF835">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数量</w:t>
            </w:r>
          </w:p>
        </w:tc>
        <w:tc>
          <w:tcPr>
            <w:tcW w:w="510" w:type="dxa"/>
            <w:vAlign w:val="center"/>
          </w:tcPr>
          <w:p w14:paraId="6CB7AFB1">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单位</w:t>
            </w:r>
          </w:p>
        </w:tc>
        <w:tc>
          <w:tcPr>
            <w:tcW w:w="1080" w:type="dxa"/>
            <w:vAlign w:val="center"/>
          </w:tcPr>
          <w:p w14:paraId="5DDBFA1B">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限价</w:t>
            </w:r>
            <w:r>
              <w:rPr>
                <w:rFonts w:hint="eastAsia" w:ascii="仿宋" w:hAnsi="仿宋" w:eastAsia="仿宋"/>
                <w:sz w:val="24"/>
                <w:szCs w:val="24"/>
              </w:rPr>
              <w:t>（元）</w:t>
            </w:r>
          </w:p>
        </w:tc>
        <w:tc>
          <w:tcPr>
            <w:tcW w:w="4905" w:type="dxa"/>
            <w:vAlign w:val="center"/>
          </w:tcPr>
          <w:p w14:paraId="5B16D1B9">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规格及配置技术参数</w:t>
            </w:r>
          </w:p>
        </w:tc>
        <w:tc>
          <w:tcPr>
            <w:tcW w:w="658" w:type="dxa"/>
            <w:vAlign w:val="center"/>
          </w:tcPr>
          <w:p w14:paraId="15787FF9">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备注</w:t>
            </w:r>
          </w:p>
        </w:tc>
      </w:tr>
      <w:tr w14:paraId="16AB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7EA78867">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1</w:t>
            </w:r>
          </w:p>
        </w:tc>
        <w:tc>
          <w:tcPr>
            <w:tcW w:w="1350" w:type="dxa"/>
            <w:vAlign w:val="center"/>
          </w:tcPr>
          <w:p w14:paraId="7C28CBA1">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矢量网络分析仪</w:t>
            </w:r>
          </w:p>
        </w:tc>
        <w:tc>
          <w:tcPr>
            <w:tcW w:w="405" w:type="dxa"/>
            <w:vAlign w:val="center"/>
          </w:tcPr>
          <w:p w14:paraId="4418D533">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07B7ED28">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080" w:type="dxa"/>
            <w:vAlign w:val="center"/>
          </w:tcPr>
          <w:p w14:paraId="3611D306">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945000</w:t>
            </w:r>
          </w:p>
        </w:tc>
        <w:tc>
          <w:tcPr>
            <w:tcW w:w="4905" w:type="dxa"/>
            <w:vAlign w:val="center"/>
          </w:tcPr>
          <w:p w14:paraId="0ACA25FC">
            <w:pPr>
              <w:snapToGrid w:val="0"/>
              <w:spacing w:line="240" w:lineRule="atLeast"/>
              <w:jc w:val="left"/>
              <w:rPr>
                <w:rFonts w:hint="eastAsia" w:ascii="仿宋" w:hAnsi="仿宋" w:eastAsia="仿宋"/>
                <w:sz w:val="24"/>
                <w:szCs w:val="24"/>
              </w:rPr>
            </w:pPr>
            <w:r>
              <w:rPr>
                <w:rFonts w:hint="eastAsia" w:ascii="仿宋" w:hAnsi="仿宋" w:eastAsia="仿宋"/>
                <w:sz w:val="24"/>
                <w:szCs w:val="24"/>
              </w:rPr>
              <w:t>1.主机频率范围： 起始频率≥900Hz；终止频率≤120 GHz；</w:t>
            </w:r>
          </w:p>
          <w:p w14:paraId="081FE2EE">
            <w:pPr>
              <w:snapToGrid w:val="0"/>
              <w:spacing w:line="240" w:lineRule="atLeast"/>
              <w:jc w:val="left"/>
              <w:rPr>
                <w:rFonts w:hint="eastAsia" w:ascii="仿宋" w:hAnsi="仿宋" w:eastAsia="仿宋"/>
                <w:sz w:val="24"/>
                <w:szCs w:val="24"/>
              </w:rPr>
            </w:pPr>
            <w:r>
              <w:rPr>
                <w:rFonts w:hint="eastAsia" w:ascii="仿宋" w:hAnsi="仿宋" w:eastAsia="仿宋"/>
                <w:sz w:val="24"/>
                <w:szCs w:val="24"/>
              </w:rPr>
              <w:t>2.频率分辨率：1Hz；</w:t>
            </w:r>
          </w:p>
          <w:p w14:paraId="4A5188A5">
            <w:pPr>
              <w:snapToGrid w:val="0"/>
              <w:spacing w:line="240" w:lineRule="atLeast"/>
              <w:jc w:val="left"/>
              <w:rPr>
                <w:rFonts w:hint="eastAsia" w:ascii="仿宋" w:hAnsi="仿宋" w:eastAsia="仿宋"/>
                <w:sz w:val="24"/>
                <w:szCs w:val="24"/>
              </w:rPr>
            </w:pPr>
            <w:r>
              <w:rPr>
                <w:rFonts w:hint="eastAsia" w:ascii="仿宋" w:hAnsi="仿宋" w:eastAsia="仿宋"/>
                <w:sz w:val="24"/>
                <w:szCs w:val="24"/>
              </w:rPr>
              <w:t>3.频率稳定度：±7ppm/年；</w:t>
            </w:r>
          </w:p>
          <w:p w14:paraId="34F40705">
            <w:pPr>
              <w:snapToGrid w:val="0"/>
              <w:spacing w:line="240" w:lineRule="atLeast"/>
              <w:jc w:val="left"/>
              <w:rPr>
                <w:rFonts w:hint="eastAsia" w:ascii="仿宋" w:hAnsi="仿宋" w:eastAsia="仿宋"/>
                <w:sz w:val="24"/>
                <w:szCs w:val="24"/>
              </w:rPr>
            </w:pPr>
            <w:r>
              <w:rPr>
                <w:rFonts w:hint="eastAsia" w:ascii="仿宋" w:hAnsi="仿宋" w:eastAsia="仿宋"/>
                <w:sz w:val="24"/>
                <w:szCs w:val="24"/>
              </w:rPr>
              <w:t>4.功率电平精度（典型值）：±0.2 dB (10MHz ～15 GHz)；</w:t>
            </w:r>
          </w:p>
          <w:p w14:paraId="10BE25EF">
            <w:pPr>
              <w:snapToGrid w:val="0"/>
              <w:spacing w:line="240" w:lineRule="atLeast"/>
              <w:jc w:val="left"/>
              <w:rPr>
                <w:rFonts w:hint="eastAsia" w:ascii="仿宋" w:hAnsi="仿宋" w:eastAsia="仿宋"/>
                <w:sz w:val="24"/>
                <w:szCs w:val="24"/>
              </w:rPr>
            </w:pPr>
            <w:r>
              <w:rPr>
                <w:rFonts w:hint="eastAsia" w:ascii="仿宋" w:hAnsi="仿宋" w:eastAsia="仿宋"/>
                <w:sz w:val="24"/>
                <w:szCs w:val="24"/>
              </w:rPr>
              <w:t>5.中频带宽：1 Hz～15MHz；</w:t>
            </w:r>
          </w:p>
          <w:p w14:paraId="69C1F081">
            <w:pPr>
              <w:snapToGrid w:val="0"/>
              <w:spacing w:line="240" w:lineRule="atLeast"/>
              <w:jc w:val="left"/>
              <w:rPr>
                <w:rFonts w:hint="eastAsia" w:ascii="仿宋" w:hAnsi="仿宋" w:eastAsia="仿宋"/>
                <w:sz w:val="24"/>
                <w:szCs w:val="24"/>
              </w:rPr>
            </w:pPr>
            <w:r>
              <w:rPr>
                <w:rFonts w:hint="eastAsia" w:ascii="仿宋" w:hAnsi="仿宋" w:eastAsia="仿宋"/>
                <w:sz w:val="24"/>
                <w:szCs w:val="24"/>
              </w:rPr>
              <w:t>6.输出端口最大功率： 13 dBm  (1MHz ～17 GHz)；</w:t>
            </w:r>
          </w:p>
          <w:p w14:paraId="503464EC">
            <w:pPr>
              <w:snapToGrid w:val="0"/>
              <w:spacing w:line="240" w:lineRule="atLeast"/>
              <w:jc w:val="left"/>
              <w:rPr>
                <w:rFonts w:hint="eastAsia" w:ascii="仿宋" w:hAnsi="仿宋" w:eastAsia="仿宋"/>
                <w:sz w:val="24"/>
                <w:szCs w:val="24"/>
              </w:rPr>
            </w:pPr>
            <w:r>
              <w:rPr>
                <w:rFonts w:hint="eastAsia" w:ascii="仿宋" w:hAnsi="仿宋" w:eastAsia="仿宋"/>
                <w:sz w:val="24"/>
                <w:szCs w:val="24"/>
              </w:rPr>
              <w:t>7.输出端口功率扫描范围： -60 dBm ~13 dBm  (1MHz ～17 GHz)；</w:t>
            </w:r>
          </w:p>
          <w:p w14:paraId="05108655">
            <w:pPr>
              <w:snapToGrid w:val="0"/>
              <w:spacing w:line="240" w:lineRule="atLeast"/>
              <w:jc w:val="left"/>
              <w:rPr>
                <w:rFonts w:hint="eastAsia" w:ascii="仿宋" w:hAnsi="仿宋" w:eastAsia="仿宋"/>
                <w:sz w:val="24"/>
                <w:szCs w:val="24"/>
              </w:rPr>
            </w:pPr>
            <w:r>
              <w:rPr>
                <w:rFonts w:hint="eastAsia" w:ascii="仿宋" w:hAnsi="仿宋" w:eastAsia="仿宋"/>
                <w:sz w:val="24"/>
                <w:szCs w:val="24"/>
              </w:rPr>
              <w:t>8.参数测量端口损坏电平：+27 dBm, ±35 V DC；</w:t>
            </w:r>
          </w:p>
          <w:p w14:paraId="65FE2120">
            <w:pPr>
              <w:snapToGrid w:val="0"/>
              <w:spacing w:line="240" w:lineRule="atLeast"/>
              <w:jc w:val="left"/>
              <w:rPr>
                <w:rFonts w:hint="eastAsia" w:ascii="仿宋" w:hAnsi="仿宋" w:eastAsia="仿宋"/>
                <w:sz w:val="24"/>
                <w:szCs w:val="24"/>
              </w:rPr>
            </w:pPr>
            <w:r>
              <w:rPr>
                <w:rFonts w:hint="eastAsia" w:ascii="仿宋" w:hAnsi="仿宋" w:eastAsia="仿宋"/>
                <w:sz w:val="24"/>
                <w:szCs w:val="24"/>
              </w:rPr>
              <w:t>9.测试端口本底噪声：≤-137 dBm(200MHz ～3GHz)；</w:t>
            </w:r>
          </w:p>
          <w:p w14:paraId="6149B5F2">
            <w:pPr>
              <w:snapToGrid w:val="0"/>
              <w:spacing w:line="240" w:lineRule="atLeast"/>
              <w:jc w:val="left"/>
              <w:rPr>
                <w:rFonts w:hint="eastAsia" w:ascii="仿宋" w:hAnsi="仿宋" w:eastAsia="仿宋"/>
                <w:sz w:val="24"/>
                <w:szCs w:val="24"/>
              </w:rPr>
            </w:pPr>
            <w:r>
              <w:rPr>
                <w:rFonts w:hint="eastAsia" w:ascii="仿宋" w:hAnsi="仿宋" w:eastAsia="仿宋"/>
                <w:sz w:val="24"/>
                <w:szCs w:val="24"/>
              </w:rPr>
              <w:t>10.轨迹噪声：</w:t>
            </w:r>
          </w:p>
          <w:p w14:paraId="63D5DF47">
            <w:pPr>
              <w:snapToGrid w:val="0"/>
              <w:spacing w:line="240" w:lineRule="atLeast"/>
              <w:jc w:val="left"/>
              <w:rPr>
                <w:rFonts w:hint="eastAsia" w:ascii="仿宋" w:hAnsi="仿宋" w:eastAsia="仿宋"/>
                <w:sz w:val="24"/>
                <w:szCs w:val="24"/>
              </w:rPr>
            </w:pPr>
            <w:r>
              <w:rPr>
                <w:rFonts w:hint="eastAsia" w:ascii="仿宋" w:hAnsi="仿宋" w:eastAsia="仿宋"/>
                <w:sz w:val="24"/>
                <w:szCs w:val="24"/>
              </w:rPr>
              <w:t>幅度：≤0.0005  dB rms  (1MHz ～4.5 GHz)；</w:t>
            </w:r>
          </w:p>
          <w:p w14:paraId="1EE382E2">
            <w:pPr>
              <w:snapToGrid w:val="0"/>
              <w:spacing w:line="240" w:lineRule="atLeast"/>
              <w:jc w:val="left"/>
              <w:rPr>
                <w:rFonts w:hint="eastAsia" w:ascii="仿宋" w:hAnsi="仿宋" w:eastAsia="仿宋"/>
                <w:sz w:val="24"/>
                <w:szCs w:val="24"/>
              </w:rPr>
            </w:pPr>
            <w:r>
              <w:rPr>
                <w:rFonts w:hint="eastAsia" w:ascii="仿宋" w:hAnsi="仿宋" w:eastAsia="仿宋"/>
                <w:sz w:val="24"/>
                <w:szCs w:val="24"/>
              </w:rPr>
              <w:t>相位：≤0.003° rms  (1MHz ～6 GHz)；</w:t>
            </w:r>
          </w:p>
          <w:p w14:paraId="1920D4A5">
            <w:pPr>
              <w:snapToGrid w:val="0"/>
              <w:spacing w:line="240" w:lineRule="atLeast"/>
              <w:jc w:val="left"/>
              <w:rPr>
                <w:rFonts w:hint="eastAsia" w:ascii="仿宋" w:hAnsi="仿宋" w:eastAsia="仿宋"/>
                <w:sz w:val="24"/>
                <w:szCs w:val="24"/>
              </w:rPr>
            </w:pPr>
            <w:r>
              <w:rPr>
                <w:rFonts w:hint="eastAsia" w:ascii="仿宋" w:hAnsi="仿宋" w:eastAsia="仿宋"/>
                <w:sz w:val="24"/>
                <w:szCs w:val="24"/>
              </w:rPr>
              <w:t>11.系统动态范围：≥150dB (50MHz ～8 GHz);</w:t>
            </w:r>
          </w:p>
          <w:p w14:paraId="1B8A8ECB">
            <w:pPr>
              <w:snapToGrid w:val="0"/>
              <w:spacing w:line="240" w:lineRule="atLeast"/>
              <w:jc w:val="left"/>
              <w:rPr>
                <w:rFonts w:hint="eastAsia" w:ascii="仿宋" w:hAnsi="仿宋" w:eastAsia="仿宋"/>
                <w:sz w:val="24"/>
                <w:szCs w:val="24"/>
              </w:rPr>
            </w:pPr>
            <w:r>
              <w:rPr>
                <w:rFonts w:hint="eastAsia" w:ascii="仿宋" w:hAnsi="仿宋" w:eastAsia="仿宋"/>
                <w:sz w:val="24"/>
                <w:szCs w:val="24"/>
              </w:rPr>
              <w:t>12.配有原厂生产的直流至18 GHz机械校准件1套，用于通过 7 mm 接口表征网络分析仪的系统误差；</w:t>
            </w:r>
          </w:p>
          <w:p w14:paraId="2D94B4D9">
            <w:pPr>
              <w:snapToGrid w:val="0"/>
              <w:spacing w:line="240" w:lineRule="atLeast"/>
              <w:jc w:val="left"/>
              <w:rPr>
                <w:rFonts w:hint="eastAsia" w:ascii="仿宋" w:hAnsi="仿宋" w:eastAsia="仿宋"/>
                <w:sz w:val="24"/>
                <w:szCs w:val="24"/>
              </w:rPr>
            </w:pPr>
            <w:r>
              <w:rPr>
                <w:rFonts w:hint="eastAsia" w:ascii="仿宋" w:hAnsi="仿宋" w:eastAsia="仿宋"/>
                <w:sz w:val="24"/>
                <w:szCs w:val="24"/>
              </w:rPr>
              <w:t>13.材料测试夹具：原厂生产的7mm空气线1套，用于执行固体材料的介电常数测试；</w:t>
            </w:r>
          </w:p>
          <w:p w14:paraId="64D96F8F">
            <w:pPr>
              <w:snapToGrid w:val="0"/>
              <w:spacing w:line="240" w:lineRule="atLeast"/>
              <w:jc w:val="left"/>
              <w:rPr>
                <w:rFonts w:hint="eastAsia" w:ascii="仿宋" w:hAnsi="仿宋" w:eastAsia="仿宋"/>
                <w:sz w:val="24"/>
                <w:szCs w:val="24"/>
              </w:rPr>
            </w:pPr>
            <w:r>
              <w:rPr>
                <w:rFonts w:hint="eastAsia" w:ascii="仿宋" w:hAnsi="仿宋" w:eastAsia="仿宋"/>
                <w:sz w:val="24"/>
                <w:szCs w:val="24"/>
              </w:rPr>
              <w:t>14.配有原厂材料测试软件一套，材料参数测试包含：介电常数: εr’、εr”、tan δ、Cole Cole；磁导率: μr’、μr”、tan δμ；</w:t>
            </w:r>
          </w:p>
        </w:tc>
        <w:tc>
          <w:tcPr>
            <w:tcW w:w="658" w:type="dxa"/>
            <w:vAlign w:val="center"/>
          </w:tcPr>
          <w:p w14:paraId="0499ADC0">
            <w:pPr>
              <w:snapToGrid w:val="0"/>
              <w:spacing w:line="240" w:lineRule="atLeas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进口</w:t>
            </w:r>
          </w:p>
        </w:tc>
      </w:tr>
      <w:tr w14:paraId="25FD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4402DDD0">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2</w:t>
            </w:r>
          </w:p>
        </w:tc>
        <w:tc>
          <w:tcPr>
            <w:tcW w:w="1350" w:type="dxa"/>
            <w:vAlign w:val="center"/>
          </w:tcPr>
          <w:p w14:paraId="3D0454D9">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微弱信号探测器</w:t>
            </w:r>
          </w:p>
        </w:tc>
        <w:tc>
          <w:tcPr>
            <w:tcW w:w="405" w:type="dxa"/>
            <w:vAlign w:val="center"/>
          </w:tcPr>
          <w:p w14:paraId="6A37CBF7">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7998B957">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080" w:type="dxa"/>
            <w:vAlign w:val="center"/>
          </w:tcPr>
          <w:p w14:paraId="730B2D0C">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2030000</w:t>
            </w:r>
          </w:p>
        </w:tc>
        <w:tc>
          <w:tcPr>
            <w:tcW w:w="4905" w:type="dxa"/>
            <w:vAlign w:val="center"/>
          </w:tcPr>
          <w:p w14:paraId="0152E2EC">
            <w:pPr>
              <w:snapToGrid w:val="0"/>
              <w:spacing w:line="240" w:lineRule="atLeast"/>
              <w:jc w:val="left"/>
              <w:rPr>
                <w:rFonts w:hint="eastAsia" w:ascii="仿宋" w:hAnsi="仿宋" w:eastAsia="仿宋"/>
                <w:sz w:val="24"/>
                <w:szCs w:val="24"/>
              </w:rPr>
            </w:pPr>
            <w:r>
              <w:rPr>
                <w:rFonts w:hint="eastAsia" w:ascii="仿宋" w:hAnsi="仿宋" w:eastAsia="仿宋"/>
                <w:sz w:val="24"/>
                <w:szCs w:val="24"/>
              </w:rPr>
              <w:t>1.</w:t>
            </w:r>
            <w:r>
              <w:rPr>
                <w:rFonts w:hint="eastAsia" w:ascii="宋体" w:hAnsi="宋体" w:eastAsia="宋体" w:cs="宋体"/>
                <w:spacing w:val="-6"/>
                <w:sz w:val="21"/>
                <w:szCs w:val="21"/>
                <w:highlight w:val="none"/>
              </w:rPr>
              <w:t>★</w:t>
            </w:r>
            <w:r>
              <w:rPr>
                <w:rFonts w:hint="eastAsia" w:ascii="仿宋" w:hAnsi="仿宋" w:eastAsia="仿宋"/>
                <w:sz w:val="24"/>
                <w:szCs w:val="24"/>
              </w:rPr>
              <w:t>采样率：每通道不低于 65GS/s；</w:t>
            </w:r>
          </w:p>
          <w:p w14:paraId="63D83446">
            <w:pPr>
              <w:snapToGrid w:val="0"/>
              <w:spacing w:line="240" w:lineRule="atLeast"/>
              <w:jc w:val="left"/>
              <w:rPr>
                <w:rFonts w:hint="eastAsia" w:ascii="仿宋" w:hAnsi="仿宋" w:eastAsia="仿宋"/>
                <w:sz w:val="24"/>
                <w:szCs w:val="24"/>
              </w:rPr>
            </w:pPr>
            <w:r>
              <w:rPr>
                <w:rFonts w:hint="eastAsia" w:ascii="仿宋" w:hAnsi="仿宋" w:eastAsia="仿宋"/>
                <w:sz w:val="24"/>
                <w:szCs w:val="24"/>
              </w:rPr>
              <w:t>2.</w:t>
            </w:r>
            <w:r>
              <w:rPr>
                <w:rFonts w:hint="eastAsia" w:ascii="宋体" w:hAnsi="宋体" w:eastAsia="宋体" w:cs="宋体"/>
                <w:spacing w:val="-6"/>
                <w:sz w:val="21"/>
                <w:szCs w:val="21"/>
                <w:highlight w:val="none"/>
              </w:rPr>
              <w:t>★</w:t>
            </w:r>
            <w:r>
              <w:rPr>
                <w:rFonts w:hint="eastAsia" w:ascii="仿宋" w:hAnsi="仿宋" w:eastAsia="仿宋"/>
                <w:sz w:val="24"/>
                <w:szCs w:val="24"/>
              </w:rPr>
              <w:t>模拟带宽：不低于 25GHz；</w:t>
            </w:r>
          </w:p>
          <w:p w14:paraId="785A58A3">
            <w:pPr>
              <w:snapToGrid w:val="0"/>
              <w:spacing w:line="240" w:lineRule="atLeast"/>
              <w:jc w:val="left"/>
              <w:rPr>
                <w:rFonts w:hint="eastAsia" w:ascii="仿宋" w:hAnsi="仿宋" w:eastAsia="仿宋"/>
                <w:sz w:val="24"/>
                <w:szCs w:val="24"/>
              </w:rPr>
            </w:pPr>
            <w:r>
              <w:rPr>
                <w:rFonts w:hint="eastAsia" w:ascii="仿宋" w:hAnsi="仿宋" w:eastAsia="仿宋"/>
                <w:sz w:val="24"/>
                <w:szCs w:val="24"/>
              </w:rPr>
              <w:t>3.量子效率：光信号转换为电信号的效率不低于92%；</w:t>
            </w:r>
          </w:p>
          <w:p w14:paraId="3D077082">
            <w:pPr>
              <w:snapToGrid w:val="0"/>
              <w:spacing w:line="240" w:lineRule="atLeast"/>
              <w:jc w:val="left"/>
              <w:rPr>
                <w:rFonts w:hint="eastAsia" w:ascii="仿宋" w:hAnsi="仿宋" w:eastAsia="仿宋"/>
                <w:sz w:val="24"/>
                <w:szCs w:val="24"/>
              </w:rPr>
            </w:pPr>
            <w:r>
              <w:rPr>
                <w:rFonts w:hint="eastAsia" w:ascii="仿宋" w:hAnsi="仿宋" w:eastAsia="仿宋"/>
                <w:sz w:val="24"/>
                <w:szCs w:val="24"/>
              </w:rPr>
              <w:t>4.垂直分辨率位数（DAC）:≥8 位；</w:t>
            </w:r>
          </w:p>
          <w:p w14:paraId="6173F87A">
            <w:pPr>
              <w:snapToGrid w:val="0"/>
              <w:spacing w:line="240" w:lineRule="atLeast"/>
              <w:jc w:val="left"/>
              <w:rPr>
                <w:rFonts w:hint="eastAsia" w:ascii="仿宋" w:hAnsi="仿宋" w:eastAsia="仿宋"/>
                <w:sz w:val="24"/>
                <w:szCs w:val="24"/>
              </w:rPr>
            </w:pPr>
            <w:r>
              <w:rPr>
                <w:rFonts w:hint="eastAsia" w:ascii="仿宋" w:hAnsi="仿宋" w:eastAsia="仿宋"/>
                <w:sz w:val="24"/>
                <w:szCs w:val="24"/>
              </w:rPr>
              <w:t>5.存储深度：每通道≥2GSa；</w:t>
            </w:r>
          </w:p>
          <w:p w14:paraId="39104493">
            <w:pPr>
              <w:snapToGrid w:val="0"/>
              <w:spacing w:line="240" w:lineRule="atLeast"/>
              <w:jc w:val="left"/>
              <w:rPr>
                <w:rFonts w:hint="eastAsia" w:ascii="仿宋" w:hAnsi="仿宋" w:eastAsia="仿宋"/>
                <w:sz w:val="24"/>
                <w:szCs w:val="24"/>
              </w:rPr>
            </w:pPr>
            <w:r>
              <w:rPr>
                <w:rFonts w:ascii="仿宋" w:hAnsi="仿宋" w:eastAsia="仿宋"/>
                <w:sz w:val="24"/>
                <w:szCs w:val="24"/>
              </w:rPr>
              <w:t>6.波段范围</w:t>
            </w:r>
            <w:r>
              <w:rPr>
                <w:rFonts w:ascii="Courier New" w:hAnsi="Courier New" w:eastAsia="仿宋" w:cs="Courier New"/>
                <w:sz w:val="24"/>
                <w:szCs w:val="24"/>
              </w:rPr>
              <w:t>‌</w:t>
            </w:r>
            <w:r>
              <w:rPr>
                <w:rFonts w:ascii="仿宋" w:hAnsi="仿宋" w:eastAsia="仿宋"/>
                <w:sz w:val="24"/>
                <w:szCs w:val="24"/>
              </w:rPr>
              <w:t>：支持700nm、800nm、905nm等不同波段的光电探测需求；</w:t>
            </w:r>
          </w:p>
          <w:p w14:paraId="40239697">
            <w:pPr>
              <w:snapToGrid w:val="0"/>
              <w:spacing w:line="240" w:lineRule="atLeast"/>
              <w:jc w:val="left"/>
              <w:rPr>
                <w:rFonts w:hint="eastAsia" w:ascii="仿宋" w:hAnsi="仿宋" w:eastAsia="仿宋"/>
                <w:sz w:val="24"/>
                <w:szCs w:val="24"/>
              </w:rPr>
            </w:pPr>
            <w:r>
              <w:rPr>
                <w:rFonts w:hint="eastAsia" w:ascii="仿宋" w:hAnsi="仿宋" w:eastAsia="仿宋"/>
                <w:sz w:val="24"/>
                <w:szCs w:val="24"/>
              </w:rPr>
              <w:t>7.</w:t>
            </w:r>
            <w:r>
              <w:rPr>
                <w:rFonts w:hint="eastAsia" w:ascii="宋体" w:hAnsi="宋体" w:eastAsia="宋体" w:cs="宋体"/>
                <w:spacing w:val="-6"/>
                <w:sz w:val="21"/>
                <w:szCs w:val="21"/>
                <w:highlight w:val="none"/>
              </w:rPr>
              <w:t>★</w:t>
            </w:r>
            <w:r>
              <w:rPr>
                <w:rFonts w:hint="eastAsia" w:ascii="仿宋" w:hAnsi="仿宋" w:eastAsia="仿宋"/>
                <w:sz w:val="24"/>
                <w:szCs w:val="24"/>
              </w:rPr>
              <w:t>有效频率切换时间：≥ 505 μs；</w:t>
            </w:r>
          </w:p>
          <w:p w14:paraId="3054FADE">
            <w:pPr>
              <w:snapToGrid w:val="0"/>
              <w:spacing w:line="240" w:lineRule="atLeast"/>
              <w:jc w:val="left"/>
              <w:rPr>
                <w:rFonts w:hint="eastAsia" w:ascii="仿宋" w:hAnsi="仿宋" w:eastAsia="仿宋"/>
                <w:sz w:val="24"/>
                <w:szCs w:val="24"/>
              </w:rPr>
            </w:pPr>
            <w:r>
              <w:rPr>
                <w:rFonts w:hint="eastAsia" w:ascii="仿宋" w:hAnsi="仿宋" w:eastAsia="仿宋"/>
                <w:sz w:val="24"/>
                <w:szCs w:val="24"/>
              </w:rPr>
              <w:t xml:space="preserve">8.幅度：75mVpp </w:t>
            </w:r>
            <w:r>
              <w:rPr>
                <w:rFonts w:ascii="Calibri" w:hAnsi="Calibri" w:eastAsia="仿宋" w:cs="Calibri"/>
                <w:sz w:val="24"/>
                <w:szCs w:val="24"/>
              </w:rPr>
              <w:t> </w:t>
            </w:r>
            <w:r>
              <w:rPr>
                <w:rFonts w:hint="eastAsia" w:ascii="仿宋" w:hAnsi="仿宋" w:eastAsia="仿宋"/>
                <w:sz w:val="24"/>
                <w:szCs w:val="24"/>
              </w:rPr>
              <w:t>至 1 Vpp , 单端模式；</w:t>
            </w:r>
          </w:p>
          <w:p w14:paraId="4728F296">
            <w:pPr>
              <w:snapToGrid w:val="0"/>
              <w:spacing w:line="240" w:lineRule="atLeast"/>
              <w:jc w:val="left"/>
              <w:rPr>
                <w:rFonts w:hint="eastAsia" w:ascii="仿宋" w:hAnsi="仿宋" w:eastAsia="仿宋"/>
                <w:sz w:val="24"/>
                <w:szCs w:val="24"/>
              </w:rPr>
            </w:pPr>
            <w:r>
              <w:rPr>
                <w:rFonts w:hint="eastAsia" w:ascii="仿宋" w:hAnsi="仿宋" w:eastAsia="仿宋"/>
                <w:sz w:val="24"/>
                <w:szCs w:val="24"/>
              </w:rPr>
              <w:t>150mVpp 至 2 Vpp , 差分；</w:t>
            </w:r>
          </w:p>
          <w:p w14:paraId="08EF3977">
            <w:pPr>
              <w:snapToGrid w:val="0"/>
              <w:spacing w:line="240" w:lineRule="atLeast"/>
              <w:jc w:val="left"/>
              <w:rPr>
                <w:rFonts w:hint="eastAsia" w:ascii="仿宋" w:hAnsi="仿宋" w:eastAsia="仿宋"/>
                <w:sz w:val="24"/>
                <w:szCs w:val="24"/>
              </w:rPr>
            </w:pPr>
            <w:r>
              <w:rPr>
                <w:rFonts w:hint="eastAsia" w:ascii="仿宋" w:hAnsi="仿宋" w:eastAsia="仿宋"/>
                <w:sz w:val="24"/>
                <w:szCs w:val="24"/>
              </w:rPr>
              <w:t>9.无杂散动态范围（SFDR），f 输出 = 100 MHz,直流至 1 GHz：≤-80 dBc ；</w:t>
            </w:r>
          </w:p>
          <w:p w14:paraId="5C7C3CF5">
            <w:pPr>
              <w:snapToGrid w:val="0"/>
              <w:spacing w:line="240" w:lineRule="atLeast"/>
              <w:jc w:val="left"/>
              <w:rPr>
                <w:rFonts w:hint="eastAsia" w:ascii="仿宋" w:hAnsi="仿宋" w:eastAsia="仿宋"/>
                <w:sz w:val="24"/>
                <w:szCs w:val="24"/>
              </w:rPr>
            </w:pPr>
            <w:r>
              <w:rPr>
                <w:rFonts w:hint="eastAsia" w:ascii="仿宋" w:hAnsi="仿宋" w:eastAsia="仿宋"/>
                <w:sz w:val="24"/>
                <w:szCs w:val="24"/>
              </w:rPr>
              <w:t>10.固有抖动：RJrms ≤ 200 fs；</w:t>
            </w:r>
          </w:p>
          <w:p w14:paraId="6C03B61B">
            <w:pPr>
              <w:snapToGrid w:val="0"/>
              <w:spacing w:line="240" w:lineRule="atLeast"/>
              <w:jc w:val="left"/>
              <w:rPr>
                <w:rFonts w:hint="eastAsia" w:ascii="仿宋" w:hAnsi="仿宋" w:eastAsia="仿宋"/>
                <w:sz w:val="24"/>
                <w:szCs w:val="24"/>
              </w:rPr>
            </w:pPr>
            <w:r>
              <w:rPr>
                <w:rFonts w:hint="eastAsia" w:ascii="仿宋" w:hAnsi="仿宋" w:eastAsia="仿宋"/>
                <w:sz w:val="24"/>
                <w:szCs w:val="24"/>
              </w:rPr>
              <w:t>11.可变时延：0 ns 至 10 ns；</w:t>
            </w:r>
          </w:p>
          <w:p w14:paraId="42C492B3">
            <w:pPr>
              <w:snapToGrid w:val="0"/>
              <w:spacing w:line="240" w:lineRule="atLeast"/>
              <w:jc w:val="left"/>
              <w:rPr>
                <w:rFonts w:hint="eastAsia" w:ascii="仿宋" w:hAnsi="仿宋" w:eastAsia="仿宋"/>
                <w:sz w:val="24"/>
                <w:szCs w:val="24"/>
              </w:rPr>
            </w:pPr>
            <w:r>
              <w:rPr>
                <w:rFonts w:hint="eastAsia" w:ascii="仿宋" w:hAnsi="仿宋" w:eastAsia="仿宋"/>
                <w:sz w:val="24"/>
                <w:szCs w:val="24"/>
              </w:rPr>
              <w:t>12.最低制冷温度：-80℃@风冷；</w:t>
            </w:r>
          </w:p>
          <w:p w14:paraId="0CF12F98">
            <w:pPr>
              <w:snapToGrid w:val="0"/>
              <w:spacing w:line="240" w:lineRule="atLeast"/>
              <w:jc w:val="left"/>
              <w:rPr>
                <w:rFonts w:hint="eastAsia" w:ascii="仿宋" w:hAnsi="仿宋" w:eastAsia="仿宋"/>
                <w:sz w:val="24"/>
                <w:szCs w:val="24"/>
              </w:rPr>
            </w:pPr>
            <w:r>
              <w:rPr>
                <w:rFonts w:hint="eastAsia" w:ascii="仿宋" w:hAnsi="仿宋" w:eastAsia="仿宋"/>
                <w:sz w:val="24"/>
                <w:szCs w:val="24"/>
              </w:rPr>
              <w:t>13.线性度：优于99%；</w:t>
            </w:r>
          </w:p>
          <w:p w14:paraId="1E32B008">
            <w:pPr>
              <w:snapToGrid w:val="0"/>
              <w:spacing w:line="240" w:lineRule="atLeast"/>
              <w:jc w:val="left"/>
              <w:rPr>
                <w:rFonts w:ascii="仿宋" w:hAnsi="仿宋" w:eastAsia="仿宋"/>
                <w:sz w:val="24"/>
                <w:szCs w:val="24"/>
              </w:rPr>
            </w:pPr>
            <w:r>
              <w:rPr>
                <w:rFonts w:hint="eastAsia" w:ascii="仿宋" w:hAnsi="仿宋" w:eastAsia="仿宋"/>
                <w:sz w:val="24"/>
                <w:szCs w:val="24"/>
              </w:rPr>
              <w:t>14.数字率：16bit</w:t>
            </w:r>
          </w:p>
          <w:p w14:paraId="41C3639A">
            <w:pPr>
              <w:snapToGrid w:val="0"/>
              <w:spacing w:line="240" w:lineRule="atLeast"/>
              <w:jc w:val="left"/>
              <w:rPr>
                <w:rFonts w:ascii="仿宋" w:hAnsi="仿宋" w:eastAsia="仿宋"/>
                <w:sz w:val="24"/>
                <w:szCs w:val="24"/>
              </w:rPr>
            </w:pPr>
            <w:r>
              <w:rPr>
                <w:rFonts w:hint="eastAsia" w:ascii="仿宋" w:hAnsi="仿宋" w:eastAsia="仿宋"/>
                <w:sz w:val="24"/>
                <w:szCs w:val="24"/>
              </w:rPr>
              <w:t>15.分辨率：1600×200；16.像素尺寸：16×16μm；</w:t>
            </w:r>
          </w:p>
          <w:p w14:paraId="0ECC1BAD">
            <w:pPr>
              <w:snapToGrid w:val="0"/>
              <w:spacing w:line="240" w:lineRule="atLeast"/>
              <w:jc w:val="left"/>
              <w:rPr>
                <w:rFonts w:hint="eastAsia" w:ascii="仿宋" w:hAnsi="仿宋" w:eastAsia="仿宋"/>
                <w:sz w:val="24"/>
                <w:szCs w:val="24"/>
              </w:rPr>
            </w:pPr>
            <w:r>
              <w:rPr>
                <w:rFonts w:hint="eastAsia" w:ascii="仿宋" w:hAnsi="仿宋" w:eastAsia="仿宋"/>
                <w:sz w:val="24"/>
                <w:szCs w:val="24"/>
              </w:rPr>
              <w:t>17.成像面积（mm）：25.6×3.2</w:t>
            </w:r>
          </w:p>
        </w:tc>
        <w:tc>
          <w:tcPr>
            <w:tcW w:w="658" w:type="dxa"/>
            <w:vAlign w:val="center"/>
          </w:tcPr>
          <w:p w14:paraId="474E6821">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进口</w:t>
            </w:r>
          </w:p>
        </w:tc>
      </w:tr>
      <w:tr w14:paraId="3E0A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6142BAE3">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3</w:t>
            </w:r>
          </w:p>
        </w:tc>
        <w:tc>
          <w:tcPr>
            <w:tcW w:w="1350" w:type="dxa"/>
            <w:vAlign w:val="center"/>
          </w:tcPr>
          <w:p w14:paraId="580871CD">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频谱分析仪</w:t>
            </w:r>
          </w:p>
        </w:tc>
        <w:tc>
          <w:tcPr>
            <w:tcW w:w="405" w:type="dxa"/>
            <w:vAlign w:val="center"/>
          </w:tcPr>
          <w:p w14:paraId="5702AF6C">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1D1095EF">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080" w:type="dxa"/>
            <w:vAlign w:val="center"/>
          </w:tcPr>
          <w:p w14:paraId="2054A12E">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570000</w:t>
            </w:r>
          </w:p>
        </w:tc>
        <w:tc>
          <w:tcPr>
            <w:tcW w:w="4905" w:type="dxa"/>
            <w:vAlign w:val="center"/>
          </w:tcPr>
          <w:p w14:paraId="16E13A8C">
            <w:pPr>
              <w:snapToGrid w:val="0"/>
              <w:spacing w:line="240" w:lineRule="atLeast"/>
              <w:jc w:val="left"/>
              <w:rPr>
                <w:rFonts w:hint="eastAsia" w:ascii="仿宋" w:hAnsi="仿宋" w:eastAsia="仿宋"/>
                <w:sz w:val="24"/>
                <w:szCs w:val="24"/>
              </w:rPr>
            </w:pPr>
            <w:r>
              <w:rPr>
                <w:rFonts w:hint="eastAsia" w:ascii="仿宋" w:hAnsi="仿宋" w:eastAsia="仿宋"/>
                <w:sz w:val="24"/>
                <w:szCs w:val="24"/>
              </w:rPr>
              <w:t>1.频率范围：2Hz - 8.4 GHz；</w:t>
            </w:r>
          </w:p>
          <w:p w14:paraId="598FCFD8">
            <w:pPr>
              <w:snapToGrid w:val="0"/>
              <w:spacing w:line="240" w:lineRule="atLeast"/>
              <w:jc w:val="left"/>
              <w:rPr>
                <w:rFonts w:hint="eastAsia" w:ascii="仿宋" w:hAnsi="仿宋" w:eastAsia="仿宋"/>
                <w:sz w:val="24"/>
                <w:szCs w:val="24"/>
              </w:rPr>
            </w:pPr>
            <w:r>
              <w:rPr>
                <w:rFonts w:hint="eastAsia" w:ascii="仿宋" w:hAnsi="仿宋" w:eastAsia="仿宋"/>
                <w:sz w:val="24"/>
                <w:szCs w:val="24"/>
              </w:rPr>
              <w:t xml:space="preserve">2.分辨带宽（RBW）：1 Hz - 3 MHz； </w:t>
            </w:r>
          </w:p>
          <w:p w14:paraId="7D257A24">
            <w:pPr>
              <w:snapToGrid w:val="0"/>
              <w:spacing w:line="240" w:lineRule="atLeast"/>
              <w:jc w:val="left"/>
              <w:rPr>
                <w:rFonts w:hint="eastAsia" w:ascii="仿宋" w:hAnsi="仿宋" w:eastAsia="仿宋"/>
                <w:sz w:val="24"/>
                <w:szCs w:val="24"/>
              </w:rPr>
            </w:pPr>
            <w:r>
              <w:rPr>
                <w:rFonts w:hint="eastAsia" w:ascii="仿宋" w:hAnsi="仿宋" w:eastAsia="仿宋"/>
                <w:sz w:val="24"/>
                <w:szCs w:val="24"/>
              </w:rPr>
              <w:t>3.输入衰减器范围（步进）：0 到 70 dB（2 dB）；</w:t>
            </w:r>
          </w:p>
          <w:p w14:paraId="21CBADC4">
            <w:pPr>
              <w:snapToGrid w:val="0"/>
              <w:spacing w:line="240" w:lineRule="atLeast"/>
              <w:jc w:val="left"/>
              <w:rPr>
                <w:rFonts w:hint="eastAsia" w:ascii="仿宋" w:hAnsi="仿宋" w:eastAsia="仿宋"/>
                <w:sz w:val="24"/>
                <w:szCs w:val="24"/>
              </w:rPr>
            </w:pPr>
            <w:r>
              <w:rPr>
                <w:rFonts w:hint="eastAsia" w:ascii="仿宋" w:hAnsi="仿宋" w:eastAsia="仿宋"/>
                <w:sz w:val="24"/>
                <w:szCs w:val="24"/>
              </w:rPr>
              <w:t>4.扫描点范围：1 到 40001，扫描时间：1 ms - 4000 s （扫描10Hz）；</w:t>
            </w:r>
          </w:p>
          <w:p w14:paraId="1DD60741">
            <w:pPr>
              <w:snapToGrid w:val="0"/>
              <w:spacing w:line="240" w:lineRule="atLeast"/>
              <w:jc w:val="left"/>
              <w:rPr>
                <w:rFonts w:hint="eastAsia" w:ascii="仿宋" w:hAnsi="仿宋" w:eastAsia="仿宋"/>
                <w:sz w:val="24"/>
                <w:szCs w:val="24"/>
              </w:rPr>
            </w:pPr>
            <w:r>
              <w:rPr>
                <w:rFonts w:hint="eastAsia" w:ascii="仿宋" w:hAnsi="仿宋" w:eastAsia="仿宋"/>
                <w:sz w:val="24"/>
                <w:szCs w:val="24"/>
              </w:rPr>
              <w:t>5.最大分析（实时）带宽：160 MHz；</w:t>
            </w:r>
          </w:p>
          <w:p w14:paraId="36E1144B">
            <w:pPr>
              <w:snapToGrid w:val="0"/>
              <w:spacing w:line="240" w:lineRule="atLeast"/>
              <w:jc w:val="left"/>
              <w:rPr>
                <w:rFonts w:hint="eastAsia" w:ascii="仿宋" w:hAnsi="仿宋" w:eastAsia="仿宋"/>
                <w:sz w:val="24"/>
                <w:szCs w:val="24"/>
              </w:rPr>
            </w:pPr>
            <w:r>
              <w:rPr>
                <w:rFonts w:hint="eastAsia" w:ascii="仿宋" w:hAnsi="仿宋" w:eastAsia="仿宋"/>
                <w:sz w:val="24"/>
                <w:szCs w:val="24"/>
              </w:rPr>
              <w:t>6.振幅测量范围：显示平均噪声水平（DANL）至 +30 dBm，DANL @1 GHz: -172 dBm，总体振幅精度：±0.23 dB；</w:t>
            </w:r>
          </w:p>
          <w:p w14:paraId="73D44641">
            <w:pPr>
              <w:snapToGrid w:val="0"/>
              <w:spacing w:line="240" w:lineRule="atLeast"/>
              <w:jc w:val="left"/>
              <w:rPr>
                <w:rFonts w:hint="eastAsia" w:ascii="仿宋" w:hAnsi="仿宋" w:eastAsia="仿宋"/>
                <w:sz w:val="24"/>
                <w:szCs w:val="24"/>
              </w:rPr>
            </w:pPr>
            <w:r>
              <w:rPr>
                <w:rFonts w:hint="eastAsia" w:ascii="仿宋" w:hAnsi="仿宋" w:eastAsia="仿宋"/>
                <w:sz w:val="24"/>
                <w:szCs w:val="24"/>
              </w:rPr>
              <w:t>7.相位噪声@1 GHz (10 kHz offset)：-114 dBc/Hz；</w:t>
            </w:r>
          </w:p>
          <w:p w14:paraId="3198109E">
            <w:pPr>
              <w:snapToGrid w:val="0"/>
              <w:spacing w:line="240" w:lineRule="atLeast"/>
              <w:jc w:val="left"/>
              <w:rPr>
                <w:rFonts w:hint="eastAsia" w:ascii="仿宋" w:hAnsi="仿宋" w:eastAsia="仿宋"/>
                <w:sz w:val="24"/>
                <w:szCs w:val="24"/>
              </w:rPr>
            </w:pPr>
            <w:r>
              <w:rPr>
                <w:rFonts w:hint="eastAsia" w:ascii="仿宋" w:hAnsi="仿宋" w:eastAsia="仿宋"/>
                <w:sz w:val="24"/>
                <w:szCs w:val="24"/>
              </w:rPr>
              <w:t>8.三阶截取点（TOI）@1 GHz : +20 dBm；</w:t>
            </w:r>
          </w:p>
          <w:p w14:paraId="31C2518B">
            <w:pPr>
              <w:snapToGrid w:val="0"/>
              <w:spacing w:line="240" w:lineRule="atLeast"/>
              <w:jc w:val="left"/>
              <w:rPr>
                <w:rFonts w:hint="eastAsia" w:ascii="仿宋" w:hAnsi="仿宋" w:eastAsia="仿宋"/>
                <w:sz w:val="24"/>
                <w:szCs w:val="24"/>
              </w:rPr>
            </w:pPr>
            <w:r>
              <w:rPr>
                <w:rFonts w:hint="eastAsia" w:ascii="仿宋" w:hAnsi="仿宋" w:eastAsia="仿宋"/>
                <w:sz w:val="24"/>
                <w:szCs w:val="24"/>
              </w:rPr>
              <w:t xml:space="preserve">9.温度稳定范围：20℃ -30 </w:t>
            </w:r>
            <w:bookmarkStart w:id="45" w:name="OLE_LINK7"/>
            <w:r>
              <w:rPr>
                <w:rFonts w:hint="eastAsia" w:ascii="仿宋" w:hAnsi="仿宋" w:eastAsia="仿宋"/>
                <w:sz w:val="24"/>
                <w:szCs w:val="24"/>
              </w:rPr>
              <w:t>℃</w:t>
            </w:r>
            <w:bookmarkEnd w:id="45"/>
            <w:r>
              <w:rPr>
                <w:rFonts w:hint="eastAsia" w:ascii="仿宋" w:hAnsi="仿宋" w:eastAsia="仿宋"/>
                <w:sz w:val="24"/>
                <w:szCs w:val="24"/>
              </w:rPr>
              <w:t>；</w:t>
            </w:r>
          </w:p>
          <w:p w14:paraId="06BF1AAA">
            <w:pPr>
              <w:snapToGrid w:val="0"/>
              <w:spacing w:line="240" w:lineRule="atLeast"/>
              <w:jc w:val="left"/>
              <w:rPr>
                <w:rFonts w:hint="eastAsia" w:ascii="仿宋" w:hAnsi="仿宋" w:eastAsia="仿宋"/>
                <w:sz w:val="24"/>
                <w:szCs w:val="24"/>
              </w:rPr>
            </w:pPr>
            <w:r>
              <w:rPr>
                <w:rFonts w:hint="eastAsia" w:ascii="仿宋" w:hAnsi="仿宋" w:eastAsia="仿宋"/>
                <w:sz w:val="24"/>
                <w:szCs w:val="24"/>
              </w:rPr>
              <w:t>10.具有硬件加速的功率测量、快速显示更新（4 ms）、快速标记峰值（1.5 ms）搜索功能；</w:t>
            </w:r>
          </w:p>
          <w:p w14:paraId="6C6EA513">
            <w:pPr>
              <w:snapToGrid w:val="0"/>
              <w:spacing w:line="240" w:lineRule="atLeast"/>
              <w:jc w:val="left"/>
              <w:rPr>
                <w:rFonts w:hint="eastAsia" w:ascii="仿宋" w:hAnsi="仿宋" w:eastAsia="仿宋"/>
                <w:sz w:val="24"/>
                <w:szCs w:val="24"/>
              </w:rPr>
            </w:pPr>
            <w:r>
              <w:rPr>
                <w:rFonts w:hint="eastAsia" w:ascii="仿宋" w:hAnsi="仿宋" w:eastAsia="仿宋"/>
                <w:sz w:val="24"/>
                <w:szCs w:val="24"/>
              </w:rPr>
              <w:t>11.通过捕获更长的 I/Q 样本，实现对信号的全面表征；</w:t>
            </w:r>
          </w:p>
          <w:p w14:paraId="6BBFC861">
            <w:pPr>
              <w:snapToGrid w:val="0"/>
              <w:spacing w:line="240" w:lineRule="atLeast"/>
              <w:jc w:val="left"/>
              <w:rPr>
                <w:rFonts w:hint="eastAsia" w:ascii="仿宋" w:hAnsi="仿宋" w:eastAsia="仿宋"/>
                <w:sz w:val="24"/>
                <w:szCs w:val="24"/>
              </w:rPr>
            </w:pPr>
            <w:r>
              <w:rPr>
                <w:rFonts w:hint="eastAsia" w:ascii="仿宋" w:hAnsi="仿宋" w:eastAsia="仿宋"/>
                <w:sz w:val="24"/>
                <w:szCs w:val="24"/>
              </w:rPr>
              <w:t>12.利用 EVM 技术可将信号分析精度精确到 0.3%（-50 dB）；</w:t>
            </w:r>
          </w:p>
          <w:p w14:paraId="37772275">
            <w:pPr>
              <w:snapToGrid w:val="0"/>
              <w:spacing w:line="240" w:lineRule="atLeast"/>
              <w:jc w:val="left"/>
              <w:rPr>
                <w:rFonts w:hint="eastAsia" w:ascii="仿宋" w:hAnsi="仿宋" w:eastAsia="仿宋"/>
                <w:sz w:val="24"/>
                <w:szCs w:val="24"/>
              </w:rPr>
            </w:pPr>
            <w:r>
              <w:rPr>
                <w:rFonts w:hint="eastAsia" w:ascii="仿宋" w:hAnsi="仿宋" w:eastAsia="仿宋"/>
                <w:sz w:val="24"/>
                <w:szCs w:val="24"/>
              </w:rPr>
              <w:t>13.支持软件远程控制，通过 PathWave X 系列测量应用程序的一键式测量功能简化测试过程，LAN传输速率：5 ms (200/s) 。</w:t>
            </w:r>
          </w:p>
          <w:p w14:paraId="69B833C1">
            <w:pPr>
              <w:snapToGrid w:val="0"/>
              <w:spacing w:line="240" w:lineRule="atLeast"/>
              <w:jc w:val="left"/>
              <w:rPr>
                <w:rFonts w:hint="eastAsia" w:ascii="仿宋" w:hAnsi="仿宋" w:eastAsia="仿宋"/>
                <w:sz w:val="24"/>
                <w:szCs w:val="24"/>
              </w:rPr>
            </w:pPr>
            <w:r>
              <w:rPr>
                <w:rFonts w:hint="eastAsia" w:ascii="仿宋" w:hAnsi="仿宋" w:eastAsia="仿宋"/>
                <w:sz w:val="24"/>
                <w:szCs w:val="24"/>
              </w:rPr>
              <w:t>14.噪底：9 kHz-1 MHz:-156 dBm；4.2 GHz-26.5 GHz:-152 dBm</w:t>
            </w:r>
          </w:p>
        </w:tc>
        <w:tc>
          <w:tcPr>
            <w:tcW w:w="658" w:type="dxa"/>
            <w:vAlign w:val="center"/>
          </w:tcPr>
          <w:p w14:paraId="5AA66F58">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进口</w:t>
            </w:r>
          </w:p>
        </w:tc>
      </w:tr>
      <w:tr w14:paraId="40DA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63C1A60F">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4</w:t>
            </w:r>
          </w:p>
        </w:tc>
        <w:tc>
          <w:tcPr>
            <w:tcW w:w="1350" w:type="dxa"/>
            <w:vAlign w:val="center"/>
          </w:tcPr>
          <w:p w14:paraId="170C89E8">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太赫兹信号源</w:t>
            </w:r>
          </w:p>
        </w:tc>
        <w:tc>
          <w:tcPr>
            <w:tcW w:w="405" w:type="dxa"/>
            <w:vAlign w:val="center"/>
          </w:tcPr>
          <w:p w14:paraId="571357CE">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1C1C6177">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080" w:type="dxa"/>
            <w:vAlign w:val="center"/>
          </w:tcPr>
          <w:p w14:paraId="07D3CDBA">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1300000</w:t>
            </w:r>
          </w:p>
        </w:tc>
        <w:tc>
          <w:tcPr>
            <w:tcW w:w="4905" w:type="dxa"/>
            <w:vAlign w:val="center"/>
          </w:tcPr>
          <w:p w14:paraId="013F5957">
            <w:pPr>
              <w:snapToGrid w:val="0"/>
              <w:spacing w:line="240" w:lineRule="atLeast"/>
              <w:jc w:val="left"/>
              <w:rPr>
                <w:rFonts w:hint="eastAsia" w:ascii="仿宋" w:hAnsi="仿宋" w:eastAsia="仿宋"/>
                <w:sz w:val="24"/>
                <w:szCs w:val="24"/>
              </w:rPr>
            </w:pPr>
            <w:r>
              <w:rPr>
                <w:rFonts w:hint="eastAsia" w:ascii="仿宋" w:hAnsi="仿宋" w:eastAsia="仿宋"/>
                <w:sz w:val="24"/>
                <w:szCs w:val="24"/>
              </w:rPr>
              <w:t>1.采样率：高达 65 GSa/s，采样频率可调；</w:t>
            </w:r>
          </w:p>
          <w:p w14:paraId="76530929">
            <w:pPr>
              <w:snapToGrid w:val="0"/>
              <w:spacing w:line="240" w:lineRule="atLeast"/>
              <w:jc w:val="left"/>
              <w:rPr>
                <w:rFonts w:hint="eastAsia" w:ascii="仿宋" w:hAnsi="仿宋" w:eastAsia="仿宋"/>
                <w:sz w:val="24"/>
                <w:szCs w:val="24"/>
              </w:rPr>
            </w:pPr>
            <w:r>
              <w:rPr>
                <w:rFonts w:hint="eastAsia" w:ascii="仿宋" w:hAnsi="仿宋" w:eastAsia="仿宋"/>
                <w:sz w:val="24"/>
                <w:szCs w:val="24"/>
              </w:rPr>
              <w:t>2.模拟信号通道数：每个AXIe模块提供 1、2 或 4 个通道，使用多通道同步模块；</w:t>
            </w:r>
          </w:p>
          <w:p w14:paraId="6A9370B0">
            <w:pPr>
              <w:snapToGrid w:val="0"/>
              <w:spacing w:line="240" w:lineRule="atLeast"/>
              <w:jc w:val="left"/>
              <w:rPr>
                <w:rFonts w:hint="eastAsia" w:ascii="仿宋" w:hAnsi="仿宋" w:eastAsia="仿宋"/>
                <w:sz w:val="24"/>
                <w:szCs w:val="24"/>
              </w:rPr>
            </w:pPr>
            <w:r>
              <w:rPr>
                <w:rFonts w:hint="eastAsia" w:ascii="仿宋" w:hAnsi="仿宋" w:eastAsia="仿宋"/>
                <w:sz w:val="24"/>
                <w:szCs w:val="24"/>
              </w:rPr>
              <w:t>3.信号垂直分辨率：8bit；</w:t>
            </w:r>
          </w:p>
          <w:p w14:paraId="355712FD">
            <w:pPr>
              <w:snapToGrid w:val="0"/>
              <w:spacing w:line="240" w:lineRule="atLeast"/>
              <w:jc w:val="left"/>
              <w:rPr>
                <w:rFonts w:hint="eastAsia" w:ascii="仿宋" w:hAnsi="仿宋" w:eastAsia="仿宋"/>
                <w:sz w:val="24"/>
                <w:szCs w:val="24"/>
              </w:rPr>
            </w:pPr>
            <w:r>
              <w:rPr>
                <w:rFonts w:hint="eastAsia" w:ascii="仿宋" w:hAnsi="仿宋" w:eastAsia="仿宋"/>
                <w:sz w:val="24"/>
                <w:szCs w:val="24"/>
              </w:rPr>
              <w:t>4.模拟带宽：25 GHz；</w:t>
            </w:r>
          </w:p>
          <w:p w14:paraId="688041D5">
            <w:pPr>
              <w:snapToGrid w:val="0"/>
              <w:spacing w:line="240" w:lineRule="atLeast"/>
              <w:jc w:val="left"/>
              <w:rPr>
                <w:rFonts w:hint="eastAsia" w:ascii="仿宋" w:hAnsi="仿宋" w:eastAsia="仿宋"/>
                <w:sz w:val="24"/>
                <w:szCs w:val="24"/>
              </w:rPr>
            </w:pPr>
            <w:r>
              <w:rPr>
                <w:rFonts w:hint="eastAsia" w:ascii="仿宋" w:hAnsi="仿宋" w:eastAsia="仿宋"/>
                <w:sz w:val="24"/>
                <w:szCs w:val="24"/>
              </w:rPr>
              <w:t>5.典型上升/下降时间:18 ps；</w:t>
            </w:r>
          </w:p>
          <w:p w14:paraId="1B6A84FD">
            <w:pPr>
              <w:snapToGrid w:val="0"/>
              <w:spacing w:line="240" w:lineRule="atLeast"/>
              <w:jc w:val="left"/>
              <w:rPr>
                <w:rFonts w:hint="eastAsia" w:ascii="仿宋" w:hAnsi="仿宋" w:eastAsia="仿宋"/>
                <w:sz w:val="24"/>
                <w:szCs w:val="24"/>
              </w:rPr>
            </w:pPr>
            <w:r>
              <w:rPr>
                <w:rFonts w:hint="eastAsia" w:ascii="仿宋" w:hAnsi="仿宋" w:eastAsia="仿宋"/>
                <w:sz w:val="24"/>
                <w:szCs w:val="24"/>
              </w:rPr>
              <w:t>6.无杂散动态范围:40 dBc；</w:t>
            </w:r>
          </w:p>
          <w:p w14:paraId="607C9402">
            <w:pPr>
              <w:snapToGrid w:val="0"/>
              <w:spacing w:line="240" w:lineRule="atLeast"/>
              <w:jc w:val="left"/>
              <w:rPr>
                <w:rFonts w:hint="eastAsia" w:ascii="仿宋" w:hAnsi="仿宋" w:eastAsia="仿宋"/>
                <w:sz w:val="24"/>
                <w:szCs w:val="24"/>
              </w:rPr>
            </w:pPr>
            <w:r>
              <w:rPr>
                <w:rFonts w:hint="eastAsia" w:ascii="仿宋" w:hAnsi="仿宋" w:eastAsia="仿宋"/>
                <w:sz w:val="24"/>
                <w:szCs w:val="24"/>
              </w:rPr>
              <w:t>7.输出幅度：75 mVpp-1.0 Vpp（单端），150 mVpp-2.0 Vpp（差分）；</w:t>
            </w:r>
          </w:p>
          <w:p w14:paraId="2646F01D">
            <w:pPr>
              <w:snapToGrid w:val="0"/>
              <w:spacing w:line="240" w:lineRule="atLeast"/>
              <w:jc w:val="left"/>
              <w:rPr>
                <w:rFonts w:hint="eastAsia" w:ascii="仿宋" w:hAnsi="仿宋" w:eastAsia="仿宋"/>
                <w:sz w:val="24"/>
                <w:szCs w:val="24"/>
              </w:rPr>
            </w:pPr>
            <w:r>
              <w:rPr>
                <w:rFonts w:hint="eastAsia" w:ascii="仿宋" w:hAnsi="仿宋" w:eastAsia="仿宋"/>
                <w:sz w:val="24"/>
                <w:szCs w:val="24"/>
              </w:rPr>
              <w:t>8.信号波特率超过 32 GBaud；</w:t>
            </w:r>
          </w:p>
          <w:p w14:paraId="63881496">
            <w:pPr>
              <w:snapToGrid w:val="0"/>
              <w:spacing w:line="240" w:lineRule="atLeast"/>
              <w:jc w:val="left"/>
              <w:rPr>
                <w:rFonts w:hint="eastAsia" w:ascii="仿宋" w:hAnsi="仿宋" w:eastAsia="仿宋"/>
                <w:sz w:val="24"/>
                <w:szCs w:val="24"/>
              </w:rPr>
            </w:pPr>
            <w:r>
              <w:rPr>
                <w:rFonts w:hint="eastAsia" w:ascii="仿宋" w:hAnsi="仿宋" w:eastAsia="仿宋"/>
                <w:sz w:val="24"/>
                <w:szCs w:val="24"/>
              </w:rPr>
              <w:t>9.频率扩展模块，工作频率： 100 GHz- 1000 GHz，测试端口输出功率：-8 dBm（典型值），射频输入频率：7.5 GHz - 11.67 GHz，射频输入功率：+5 dBm（最小值）+10 dBm（最大值），射频倍频数：12，射频测试输入端口：SMA（F）。</w:t>
            </w:r>
          </w:p>
        </w:tc>
        <w:tc>
          <w:tcPr>
            <w:tcW w:w="658" w:type="dxa"/>
            <w:vAlign w:val="center"/>
          </w:tcPr>
          <w:p w14:paraId="768AAB49">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进口</w:t>
            </w:r>
          </w:p>
        </w:tc>
      </w:tr>
      <w:tr w14:paraId="0CBF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2977C8A2">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5</w:t>
            </w:r>
          </w:p>
        </w:tc>
        <w:tc>
          <w:tcPr>
            <w:tcW w:w="1350" w:type="dxa"/>
            <w:vAlign w:val="center"/>
          </w:tcPr>
          <w:p w14:paraId="7358BE7F">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任意波形发生器</w:t>
            </w:r>
          </w:p>
        </w:tc>
        <w:tc>
          <w:tcPr>
            <w:tcW w:w="405" w:type="dxa"/>
            <w:vAlign w:val="center"/>
          </w:tcPr>
          <w:p w14:paraId="2E911190">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0E5B8BDF">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080" w:type="dxa"/>
            <w:vAlign w:val="center"/>
          </w:tcPr>
          <w:p w14:paraId="69119338">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1080000</w:t>
            </w:r>
          </w:p>
        </w:tc>
        <w:tc>
          <w:tcPr>
            <w:tcW w:w="4905" w:type="dxa"/>
            <w:vAlign w:val="center"/>
          </w:tcPr>
          <w:p w14:paraId="3D918FD6">
            <w:pPr>
              <w:snapToGrid w:val="0"/>
              <w:spacing w:line="240" w:lineRule="atLeast"/>
              <w:jc w:val="left"/>
              <w:rPr>
                <w:rFonts w:hint="eastAsia" w:ascii="仿宋" w:hAnsi="仿宋" w:eastAsia="仿宋"/>
                <w:sz w:val="24"/>
                <w:szCs w:val="24"/>
              </w:rPr>
            </w:pPr>
            <w:r>
              <w:rPr>
                <w:rFonts w:hint="eastAsia" w:ascii="仿宋" w:hAnsi="仿宋" w:eastAsia="仿宋"/>
                <w:sz w:val="24"/>
                <w:szCs w:val="24"/>
              </w:rPr>
              <w:t>1.采样率256GSa/s;分辨率10位比特；</w:t>
            </w:r>
          </w:p>
          <w:p w14:paraId="1447EB19">
            <w:pPr>
              <w:snapToGrid w:val="0"/>
              <w:spacing w:line="240" w:lineRule="atLeast"/>
              <w:jc w:val="left"/>
              <w:rPr>
                <w:rFonts w:hint="eastAsia" w:ascii="仿宋" w:hAnsi="仿宋" w:eastAsia="仿宋"/>
                <w:sz w:val="24"/>
                <w:szCs w:val="24"/>
              </w:rPr>
            </w:pPr>
            <w:r>
              <w:rPr>
                <w:rFonts w:hint="eastAsia" w:ascii="仿宋" w:hAnsi="仿宋" w:eastAsia="仿宋"/>
                <w:sz w:val="24"/>
                <w:szCs w:val="24"/>
              </w:rPr>
              <w:t>2.模拟带宽≤70GHz;无杂散动态范围-49dB至-90dB；</w:t>
            </w:r>
          </w:p>
          <w:p w14:paraId="2612D635">
            <w:pPr>
              <w:snapToGrid w:val="0"/>
              <w:spacing w:line="240" w:lineRule="atLeast"/>
              <w:jc w:val="left"/>
              <w:rPr>
                <w:rFonts w:hint="eastAsia" w:ascii="仿宋" w:hAnsi="仿宋" w:eastAsia="仿宋"/>
                <w:sz w:val="24"/>
                <w:szCs w:val="24"/>
              </w:rPr>
            </w:pPr>
            <w:r>
              <w:rPr>
                <w:rFonts w:hint="eastAsia" w:ascii="仿宋" w:hAnsi="仿宋" w:eastAsia="仿宋"/>
                <w:sz w:val="24"/>
                <w:szCs w:val="24"/>
              </w:rPr>
              <w:t>3.频率扫描速度≥ 3.2 GHz/ms，扫描时间：可设置10 ms 至 200 s 。</w:t>
            </w:r>
          </w:p>
          <w:p w14:paraId="6788510C">
            <w:pPr>
              <w:snapToGrid w:val="0"/>
              <w:spacing w:line="240" w:lineRule="atLeast"/>
              <w:jc w:val="left"/>
              <w:rPr>
                <w:rFonts w:ascii="仿宋" w:hAnsi="仿宋" w:eastAsia="仿宋"/>
                <w:sz w:val="24"/>
                <w:szCs w:val="24"/>
              </w:rPr>
            </w:pPr>
            <w:r>
              <w:rPr>
                <w:rFonts w:hint="eastAsia" w:ascii="仿宋" w:hAnsi="仿宋" w:eastAsia="仿宋"/>
                <w:sz w:val="24"/>
                <w:szCs w:val="24"/>
              </w:rPr>
              <w:t>4.输出功率（典型值）：</w:t>
            </w:r>
          </w:p>
          <w:p w14:paraId="5707FF42">
            <w:pPr>
              <w:snapToGrid w:val="0"/>
              <w:spacing w:line="240" w:lineRule="atLeast"/>
              <w:jc w:val="left"/>
              <w:rPr>
                <w:rFonts w:ascii="仿宋" w:hAnsi="仿宋" w:eastAsia="仿宋"/>
                <w:sz w:val="24"/>
                <w:szCs w:val="24"/>
              </w:rPr>
            </w:pPr>
            <w:r>
              <w:rPr>
                <w:rFonts w:hint="eastAsia" w:ascii="仿宋" w:hAnsi="仿宋" w:eastAsia="仿宋"/>
                <w:sz w:val="24"/>
                <w:szCs w:val="24"/>
              </w:rPr>
              <w:t>1）0.4 GHz-15 GHz：≥+21 dBm;</w:t>
            </w:r>
          </w:p>
          <w:p w14:paraId="61A942A8">
            <w:pPr>
              <w:snapToGrid w:val="0"/>
              <w:spacing w:line="240" w:lineRule="atLeast"/>
              <w:jc w:val="left"/>
              <w:rPr>
                <w:rFonts w:ascii="仿宋" w:hAnsi="仿宋" w:eastAsia="仿宋"/>
                <w:sz w:val="24"/>
                <w:szCs w:val="24"/>
              </w:rPr>
            </w:pPr>
            <w:r>
              <w:rPr>
                <w:rFonts w:hint="eastAsia" w:ascii="仿宋" w:hAnsi="仿宋" w:eastAsia="仿宋"/>
                <w:sz w:val="24"/>
                <w:szCs w:val="24"/>
              </w:rPr>
              <w:t>2）15 GHz-30 GHz: ≥+16 dBm;</w:t>
            </w:r>
          </w:p>
          <w:p w14:paraId="775A1AA0">
            <w:pPr>
              <w:snapToGrid w:val="0"/>
              <w:spacing w:line="240" w:lineRule="atLeast"/>
              <w:jc w:val="left"/>
              <w:rPr>
                <w:rFonts w:ascii="仿宋" w:hAnsi="仿宋" w:eastAsia="仿宋"/>
                <w:sz w:val="24"/>
                <w:szCs w:val="24"/>
              </w:rPr>
            </w:pPr>
            <w:r>
              <w:rPr>
                <w:rFonts w:hint="eastAsia" w:ascii="仿宋" w:hAnsi="仿宋" w:eastAsia="仿宋"/>
                <w:sz w:val="24"/>
                <w:szCs w:val="24"/>
              </w:rPr>
              <w:t>3）30 GHz-67 GHz: ≥+14 dBm;</w:t>
            </w:r>
          </w:p>
          <w:p w14:paraId="3BB0649A">
            <w:pPr>
              <w:snapToGrid w:val="0"/>
              <w:spacing w:line="240" w:lineRule="atLeast"/>
              <w:jc w:val="left"/>
              <w:rPr>
                <w:rFonts w:hint="eastAsia" w:ascii="仿宋" w:hAnsi="仿宋" w:eastAsia="仿宋"/>
                <w:sz w:val="24"/>
                <w:szCs w:val="24"/>
              </w:rPr>
            </w:pPr>
            <w:r>
              <w:rPr>
                <w:rFonts w:hint="eastAsia" w:ascii="仿宋" w:hAnsi="仿宋" w:eastAsia="仿宋"/>
                <w:sz w:val="24"/>
                <w:szCs w:val="24"/>
              </w:rPr>
              <w:t>4）67 GHz-70 GHz: ≥+8 dBm;</w:t>
            </w:r>
          </w:p>
          <w:p w14:paraId="79104E5E">
            <w:pPr>
              <w:snapToGrid w:val="0"/>
              <w:spacing w:line="240" w:lineRule="atLeast"/>
              <w:jc w:val="left"/>
              <w:rPr>
                <w:rFonts w:hint="eastAsia" w:ascii="仿宋" w:hAnsi="仿宋" w:eastAsia="仿宋"/>
                <w:sz w:val="24"/>
                <w:szCs w:val="24"/>
              </w:rPr>
            </w:pPr>
            <w:r>
              <w:rPr>
                <w:rFonts w:hint="eastAsia" w:ascii="仿宋" w:hAnsi="仿宋" w:eastAsia="仿宋"/>
                <w:sz w:val="24"/>
                <w:szCs w:val="24"/>
              </w:rPr>
              <w:t>5.全频段最小输出功率：≤-110dBm。CW切换速度：频率 ＜7ms。</w:t>
            </w:r>
          </w:p>
          <w:p w14:paraId="36938415">
            <w:pPr>
              <w:snapToGrid w:val="0"/>
              <w:spacing w:line="240" w:lineRule="atLeast"/>
              <w:jc w:val="left"/>
              <w:rPr>
                <w:rFonts w:ascii="仿宋" w:hAnsi="仿宋" w:eastAsia="仿宋"/>
                <w:sz w:val="24"/>
                <w:szCs w:val="24"/>
              </w:rPr>
            </w:pPr>
            <w:r>
              <w:rPr>
                <w:rFonts w:hint="eastAsia" w:ascii="仿宋" w:hAnsi="仿宋" w:eastAsia="仿宋"/>
                <w:sz w:val="24"/>
                <w:szCs w:val="24"/>
              </w:rPr>
              <w:t>6.单边带相位噪声不高于如下指标（典型值）(dBc/Hz,连续波，在@10kHz频偏情况下):</w:t>
            </w:r>
          </w:p>
          <w:p w14:paraId="1A101E54">
            <w:pPr>
              <w:snapToGrid w:val="0"/>
              <w:spacing w:line="240" w:lineRule="atLeast"/>
              <w:jc w:val="left"/>
              <w:rPr>
                <w:rFonts w:ascii="仿宋" w:hAnsi="仿宋" w:eastAsia="仿宋"/>
                <w:sz w:val="24"/>
                <w:szCs w:val="24"/>
              </w:rPr>
            </w:pPr>
            <w:r>
              <w:rPr>
                <w:rFonts w:hint="eastAsia" w:ascii="仿宋" w:hAnsi="仿宋" w:eastAsia="仿宋"/>
                <w:sz w:val="24"/>
                <w:szCs w:val="24"/>
              </w:rPr>
              <w:t>1）250KHz-250 MHz ,≤–132 dBc/Hz;</w:t>
            </w:r>
          </w:p>
          <w:p w14:paraId="25B501E5">
            <w:pPr>
              <w:snapToGrid w:val="0"/>
              <w:spacing w:line="240" w:lineRule="atLeast"/>
              <w:jc w:val="left"/>
              <w:rPr>
                <w:rFonts w:ascii="仿宋" w:hAnsi="仿宋" w:eastAsia="仿宋"/>
                <w:sz w:val="24"/>
                <w:szCs w:val="24"/>
              </w:rPr>
            </w:pPr>
            <w:r>
              <w:rPr>
                <w:rFonts w:hint="eastAsia" w:ascii="仿宋" w:hAnsi="仿宋" w:eastAsia="仿宋"/>
                <w:sz w:val="24"/>
                <w:szCs w:val="24"/>
              </w:rPr>
              <w:t>2）250 MHz-500 MHz，≤–136 dBc/Hz;</w:t>
            </w:r>
          </w:p>
          <w:p w14:paraId="6C9D3656">
            <w:pPr>
              <w:snapToGrid w:val="0"/>
              <w:spacing w:line="240" w:lineRule="atLeast"/>
              <w:jc w:val="left"/>
              <w:rPr>
                <w:rFonts w:ascii="仿宋" w:hAnsi="仿宋" w:eastAsia="仿宋"/>
                <w:sz w:val="24"/>
                <w:szCs w:val="24"/>
              </w:rPr>
            </w:pPr>
            <w:r>
              <w:rPr>
                <w:rFonts w:hint="eastAsia" w:ascii="仿宋" w:hAnsi="仿宋" w:eastAsia="仿宋"/>
                <w:sz w:val="24"/>
                <w:szCs w:val="24"/>
              </w:rPr>
              <w:t>3）500 MHz-1 GHz，≤–134 dBc/Hz;</w:t>
            </w:r>
          </w:p>
          <w:p w14:paraId="60EACDED">
            <w:pPr>
              <w:snapToGrid w:val="0"/>
              <w:spacing w:line="240" w:lineRule="atLeast"/>
              <w:jc w:val="left"/>
              <w:rPr>
                <w:rFonts w:ascii="仿宋" w:hAnsi="仿宋" w:eastAsia="仿宋"/>
                <w:sz w:val="24"/>
                <w:szCs w:val="24"/>
              </w:rPr>
            </w:pPr>
            <w:r>
              <w:rPr>
                <w:rFonts w:hint="eastAsia" w:ascii="仿宋" w:hAnsi="仿宋" w:eastAsia="仿宋"/>
                <w:sz w:val="24"/>
                <w:szCs w:val="24"/>
              </w:rPr>
              <w:t>4）1 GHz-2 GHz,≤–129 dBc/Hz;</w:t>
            </w:r>
          </w:p>
          <w:p w14:paraId="4D2E27DE">
            <w:pPr>
              <w:snapToGrid w:val="0"/>
              <w:spacing w:line="240" w:lineRule="atLeast"/>
              <w:jc w:val="left"/>
              <w:rPr>
                <w:rFonts w:ascii="仿宋" w:hAnsi="仿宋" w:eastAsia="仿宋"/>
                <w:sz w:val="24"/>
                <w:szCs w:val="24"/>
              </w:rPr>
            </w:pPr>
            <w:r>
              <w:rPr>
                <w:rFonts w:hint="eastAsia" w:ascii="仿宋" w:hAnsi="仿宋" w:eastAsia="仿宋"/>
                <w:sz w:val="24"/>
                <w:szCs w:val="24"/>
              </w:rPr>
              <w:t>5）2 GHz-3.2 GHz,≤–124 dBc/Hz;</w:t>
            </w:r>
          </w:p>
          <w:p w14:paraId="70055C9E">
            <w:pPr>
              <w:snapToGrid w:val="0"/>
              <w:spacing w:line="240" w:lineRule="atLeast"/>
              <w:jc w:val="left"/>
              <w:rPr>
                <w:rFonts w:ascii="仿宋" w:hAnsi="仿宋" w:eastAsia="仿宋"/>
                <w:sz w:val="24"/>
                <w:szCs w:val="24"/>
              </w:rPr>
            </w:pPr>
            <w:r>
              <w:rPr>
                <w:rFonts w:hint="eastAsia" w:ascii="仿宋" w:hAnsi="仿宋" w:eastAsia="仿宋"/>
                <w:sz w:val="24"/>
                <w:szCs w:val="24"/>
              </w:rPr>
              <w:t>6）3.2 GHz-10 GHz,≤–114 dBc/Hz;</w:t>
            </w:r>
          </w:p>
          <w:p w14:paraId="4388797A">
            <w:pPr>
              <w:snapToGrid w:val="0"/>
              <w:spacing w:line="240" w:lineRule="atLeast"/>
              <w:jc w:val="left"/>
              <w:rPr>
                <w:rFonts w:ascii="仿宋" w:hAnsi="仿宋" w:eastAsia="仿宋"/>
                <w:sz w:val="24"/>
                <w:szCs w:val="24"/>
              </w:rPr>
            </w:pPr>
            <w:r>
              <w:rPr>
                <w:rFonts w:hint="eastAsia" w:ascii="仿宋" w:hAnsi="仿宋" w:eastAsia="仿宋"/>
                <w:sz w:val="24"/>
                <w:szCs w:val="24"/>
              </w:rPr>
              <w:t>7）10 GHz-20 GHz,≤–107 dBc/Hz;</w:t>
            </w:r>
          </w:p>
          <w:p w14:paraId="019B77F8">
            <w:pPr>
              <w:snapToGrid w:val="0"/>
              <w:spacing w:line="240" w:lineRule="atLeast"/>
              <w:jc w:val="left"/>
              <w:rPr>
                <w:rFonts w:hint="eastAsia" w:ascii="仿宋" w:hAnsi="仿宋" w:eastAsia="仿宋"/>
                <w:sz w:val="24"/>
                <w:szCs w:val="24"/>
              </w:rPr>
            </w:pPr>
            <w:r>
              <w:rPr>
                <w:rFonts w:hint="eastAsia" w:ascii="仿宋" w:hAnsi="仿宋" w:eastAsia="仿宋"/>
                <w:sz w:val="24"/>
                <w:szCs w:val="24"/>
              </w:rPr>
              <w:t>8）40 GHz-67 GHz,≤–95 dBc/Hz。</w:t>
            </w:r>
          </w:p>
          <w:p w14:paraId="6249C7CC">
            <w:pPr>
              <w:snapToGrid w:val="0"/>
              <w:spacing w:line="240" w:lineRule="atLeast"/>
              <w:jc w:val="left"/>
              <w:rPr>
                <w:rFonts w:hint="eastAsia" w:ascii="仿宋" w:hAnsi="仿宋" w:eastAsia="仿宋"/>
                <w:sz w:val="24"/>
                <w:szCs w:val="24"/>
              </w:rPr>
            </w:pPr>
            <w:r>
              <w:rPr>
                <w:rFonts w:hint="eastAsia" w:ascii="仿宋" w:hAnsi="仿宋" w:eastAsia="仿宋"/>
                <w:sz w:val="24"/>
                <w:szCs w:val="24"/>
              </w:rPr>
              <w:t>7.调制方式：支持 AM,FM,PM调制；</w:t>
            </w:r>
          </w:p>
        </w:tc>
        <w:tc>
          <w:tcPr>
            <w:tcW w:w="658" w:type="dxa"/>
            <w:vAlign w:val="center"/>
          </w:tcPr>
          <w:p w14:paraId="4382D1FF">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进口</w:t>
            </w:r>
          </w:p>
        </w:tc>
      </w:tr>
      <w:tr w14:paraId="15B1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2AEB1D8A">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6</w:t>
            </w:r>
          </w:p>
        </w:tc>
        <w:tc>
          <w:tcPr>
            <w:tcW w:w="1350" w:type="dxa"/>
            <w:vAlign w:val="center"/>
          </w:tcPr>
          <w:p w14:paraId="18D8FFE4">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飞秒-纳秒激光加工系统</w:t>
            </w:r>
          </w:p>
        </w:tc>
        <w:tc>
          <w:tcPr>
            <w:tcW w:w="405" w:type="dxa"/>
            <w:vAlign w:val="center"/>
          </w:tcPr>
          <w:p w14:paraId="57DD8F9D">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69DB664E">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套</w:t>
            </w:r>
          </w:p>
        </w:tc>
        <w:tc>
          <w:tcPr>
            <w:tcW w:w="1080" w:type="dxa"/>
            <w:vAlign w:val="center"/>
          </w:tcPr>
          <w:p w14:paraId="20F0AA3C">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1670000</w:t>
            </w:r>
          </w:p>
        </w:tc>
        <w:tc>
          <w:tcPr>
            <w:tcW w:w="4905" w:type="dxa"/>
            <w:vAlign w:val="center"/>
          </w:tcPr>
          <w:p w14:paraId="0A90444B">
            <w:pPr>
              <w:snapToGrid w:val="0"/>
              <w:spacing w:line="240" w:lineRule="atLeast"/>
              <w:jc w:val="left"/>
              <w:rPr>
                <w:rFonts w:ascii="仿宋" w:hAnsi="仿宋" w:eastAsia="仿宋"/>
                <w:sz w:val="24"/>
                <w:szCs w:val="24"/>
              </w:rPr>
            </w:pPr>
            <w:r>
              <w:rPr>
                <w:rFonts w:hint="eastAsia" w:ascii="仿宋" w:hAnsi="仿宋" w:eastAsia="仿宋"/>
                <w:sz w:val="24"/>
                <w:szCs w:val="24"/>
              </w:rPr>
              <w:t>一、飞秒激光器：</w:t>
            </w:r>
          </w:p>
          <w:p w14:paraId="74F17B98">
            <w:pPr>
              <w:snapToGrid w:val="0"/>
              <w:spacing w:line="240" w:lineRule="atLeast"/>
              <w:jc w:val="left"/>
              <w:rPr>
                <w:rFonts w:hint="eastAsia" w:ascii="仿宋" w:hAnsi="仿宋" w:eastAsia="仿宋"/>
                <w:sz w:val="24"/>
                <w:szCs w:val="24"/>
              </w:rPr>
            </w:pPr>
            <w:r>
              <w:rPr>
                <w:rFonts w:hint="eastAsia" w:ascii="仿宋" w:hAnsi="仿宋" w:eastAsia="仿宋"/>
                <w:sz w:val="24"/>
                <w:szCs w:val="24"/>
              </w:rPr>
              <w:t>1.输出波长：515±15 nm，典型值527 nm，功率≤10W；</w:t>
            </w:r>
          </w:p>
          <w:p w14:paraId="6F1F760B">
            <w:pPr>
              <w:snapToGrid w:val="0"/>
              <w:spacing w:line="240" w:lineRule="atLeast"/>
              <w:jc w:val="left"/>
              <w:rPr>
                <w:rFonts w:hint="eastAsia" w:ascii="仿宋" w:hAnsi="仿宋" w:eastAsia="仿宋"/>
                <w:sz w:val="24"/>
                <w:szCs w:val="24"/>
              </w:rPr>
            </w:pPr>
            <w:r>
              <w:rPr>
                <w:rFonts w:hint="eastAsia" w:ascii="仿宋" w:hAnsi="仿宋" w:eastAsia="仿宋"/>
                <w:sz w:val="24"/>
                <w:szCs w:val="24"/>
              </w:rPr>
              <w:t>2.重复频率：5 kHz-5MHz, 典型值5kHz；</w:t>
            </w:r>
          </w:p>
          <w:p w14:paraId="25007FB4">
            <w:pPr>
              <w:snapToGrid w:val="0"/>
              <w:spacing w:line="240" w:lineRule="atLeast"/>
              <w:jc w:val="left"/>
              <w:rPr>
                <w:rFonts w:hint="eastAsia" w:ascii="仿宋" w:hAnsi="仿宋" w:eastAsia="仿宋"/>
                <w:sz w:val="24"/>
                <w:szCs w:val="24"/>
              </w:rPr>
            </w:pPr>
            <w:r>
              <w:rPr>
                <w:rFonts w:hint="eastAsia" w:ascii="仿宋" w:hAnsi="仿宋" w:eastAsia="仿宋"/>
                <w:sz w:val="24"/>
                <w:szCs w:val="24"/>
              </w:rPr>
              <w:t>3.单脉冲能量：30 uJ - 7 mJ @5 kHz,典型值7mJ；</w:t>
            </w:r>
          </w:p>
          <w:p w14:paraId="1F2FF209">
            <w:pPr>
              <w:snapToGrid w:val="0"/>
              <w:spacing w:line="240" w:lineRule="atLeast"/>
              <w:jc w:val="left"/>
              <w:rPr>
                <w:rFonts w:hint="eastAsia" w:ascii="仿宋" w:hAnsi="仿宋" w:eastAsia="仿宋"/>
                <w:sz w:val="24"/>
                <w:szCs w:val="24"/>
              </w:rPr>
            </w:pPr>
            <w:r>
              <w:rPr>
                <w:rFonts w:hint="eastAsia" w:ascii="仿宋" w:hAnsi="仿宋" w:eastAsia="仿宋"/>
                <w:sz w:val="24"/>
                <w:szCs w:val="24"/>
              </w:rPr>
              <w:t>4.脉冲间能量稳定性：≤0.5% rms；</w:t>
            </w:r>
          </w:p>
          <w:p w14:paraId="0D650E5A">
            <w:pPr>
              <w:snapToGrid w:val="0"/>
              <w:spacing w:line="240" w:lineRule="atLeast"/>
              <w:jc w:val="left"/>
              <w:rPr>
                <w:rFonts w:hint="eastAsia" w:ascii="仿宋" w:hAnsi="仿宋" w:eastAsia="仿宋"/>
                <w:sz w:val="24"/>
                <w:szCs w:val="24"/>
              </w:rPr>
            </w:pPr>
            <w:r>
              <w:rPr>
                <w:rFonts w:hint="eastAsia" w:ascii="仿宋" w:hAnsi="仿宋" w:eastAsia="仿宋"/>
                <w:sz w:val="24"/>
                <w:szCs w:val="24"/>
              </w:rPr>
              <w:t>5.光束发散角（全角）：≤8（mrad）；</w:t>
            </w:r>
          </w:p>
          <w:p w14:paraId="78E44651">
            <w:pPr>
              <w:snapToGrid w:val="0"/>
              <w:spacing w:line="240" w:lineRule="atLeast"/>
              <w:jc w:val="left"/>
              <w:rPr>
                <w:rFonts w:hint="eastAsia" w:ascii="仿宋" w:hAnsi="仿宋" w:eastAsia="仿宋"/>
                <w:sz w:val="24"/>
                <w:szCs w:val="24"/>
              </w:rPr>
            </w:pPr>
            <w:r>
              <w:rPr>
                <w:rFonts w:hint="eastAsia" w:ascii="仿宋" w:hAnsi="仿宋" w:eastAsia="仿宋"/>
                <w:sz w:val="24"/>
                <w:szCs w:val="24"/>
              </w:rPr>
              <w:t xml:space="preserve">6.光束圆度：≥80% </w:t>
            </w:r>
          </w:p>
          <w:p w14:paraId="686A9765">
            <w:pPr>
              <w:snapToGrid w:val="0"/>
              <w:spacing w:line="240" w:lineRule="atLeast"/>
              <w:jc w:val="left"/>
              <w:rPr>
                <w:rFonts w:ascii="仿宋" w:hAnsi="仿宋" w:eastAsia="仿宋"/>
                <w:sz w:val="24"/>
                <w:szCs w:val="24"/>
              </w:rPr>
            </w:pPr>
            <w:r>
              <w:rPr>
                <w:rFonts w:hint="eastAsia" w:ascii="仿宋" w:hAnsi="仿宋" w:eastAsia="仿宋"/>
                <w:sz w:val="24"/>
                <w:szCs w:val="24"/>
              </w:rPr>
              <w:t>加工放大模块；</w:t>
            </w:r>
          </w:p>
          <w:p w14:paraId="7EF342C9">
            <w:pPr>
              <w:snapToGrid w:val="0"/>
              <w:spacing w:line="240" w:lineRule="atLeast"/>
              <w:jc w:val="left"/>
              <w:rPr>
                <w:rFonts w:ascii="仿宋" w:hAnsi="仿宋" w:eastAsia="仿宋"/>
                <w:sz w:val="24"/>
                <w:szCs w:val="24"/>
              </w:rPr>
            </w:pPr>
            <w:r>
              <w:rPr>
                <w:rFonts w:hint="eastAsia" w:ascii="仿宋" w:hAnsi="仿宋" w:eastAsia="仿宋"/>
                <w:sz w:val="24"/>
                <w:szCs w:val="24"/>
              </w:rPr>
              <w:t>7.脉冲宽度：≤350fs，典型值35fs；</w:t>
            </w:r>
          </w:p>
          <w:p w14:paraId="1E4D1106">
            <w:pPr>
              <w:snapToGrid w:val="0"/>
              <w:spacing w:line="240" w:lineRule="atLeast"/>
              <w:jc w:val="left"/>
              <w:rPr>
                <w:rFonts w:hint="eastAsia" w:ascii="仿宋" w:hAnsi="仿宋" w:eastAsia="仿宋"/>
                <w:sz w:val="24"/>
                <w:szCs w:val="24"/>
              </w:rPr>
            </w:pPr>
            <w:r>
              <w:rPr>
                <w:rFonts w:hint="eastAsia" w:ascii="仿宋" w:hAnsi="仿宋" w:eastAsia="仿宋"/>
                <w:sz w:val="24"/>
                <w:szCs w:val="24"/>
              </w:rPr>
              <w:t>8.刻蚀线宽：≥15μm。</w:t>
            </w:r>
          </w:p>
          <w:p w14:paraId="059885F3">
            <w:pPr>
              <w:snapToGrid w:val="0"/>
              <w:spacing w:line="240" w:lineRule="atLeast"/>
              <w:jc w:val="left"/>
              <w:rPr>
                <w:rFonts w:ascii="仿宋" w:hAnsi="仿宋" w:eastAsia="仿宋"/>
                <w:sz w:val="24"/>
                <w:szCs w:val="24"/>
              </w:rPr>
            </w:pPr>
            <w:r>
              <w:rPr>
                <w:rFonts w:hint="eastAsia" w:ascii="仿宋" w:hAnsi="仿宋" w:eastAsia="仿宋"/>
                <w:sz w:val="24"/>
                <w:szCs w:val="24"/>
              </w:rPr>
              <w:t>二、纳秒激光器：</w:t>
            </w:r>
          </w:p>
          <w:p w14:paraId="5C3EF533">
            <w:pPr>
              <w:snapToGrid w:val="0"/>
              <w:spacing w:line="240" w:lineRule="atLeast"/>
              <w:jc w:val="left"/>
              <w:rPr>
                <w:rFonts w:hint="eastAsia" w:ascii="仿宋" w:hAnsi="仿宋" w:eastAsia="仿宋"/>
                <w:sz w:val="24"/>
                <w:szCs w:val="24"/>
              </w:rPr>
            </w:pPr>
            <w:r>
              <w:rPr>
                <w:rFonts w:hint="eastAsia" w:ascii="仿宋" w:hAnsi="仿宋" w:eastAsia="仿宋"/>
                <w:sz w:val="24"/>
                <w:szCs w:val="24"/>
              </w:rPr>
              <w:t>1.中心波长位于区间：800 -1064nm,典型值800nm；</w:t>
            </w:r>
          </w:p>
          <w:p w14:paraId="76519ADD">
            <w:pPr>
              <w:snapToGrid w:val="0"/>
              <w:spacing w:line="240" w:lineRule="atLeast"/>
              <w:jc w:val="left"/>
              <w:rPr>
                <w:rFonts w:hint="eastAsia" w:ascii="仿宋" w:hAnsi="仿宋" w:eastAsia="仿宋"/>
                <w:sz w:val="24"/>
                <w:szCs w:val="24"/>
              </w:rPr>
            </w:pPr>
            <w:r>
              <w:rPr>
                <w:rFonts w:hint="eastAsia" w:ascii="仿宋" w:hAnsi="仿宋" w:eastAsia="仿宋"/>
                <w:sz w:val="24"/>
                <w:szCs w:val="24"/>
              </w:rPr>
              <w:t>2.重复频率：1 kHz -2000kHz；</w:t>
            </w:r>
          </w:p>
          <w:p w14:paraId="5AEDC1A0">
            <w:pPr>
              <w:snapToGrid w:val="0"/>
              <w:spacing w:line="240" w:lineRule="atLeast"/>
              <w:jc w:val="left"/>
              <w:rPr>
                <w:rFonts w:hint="eastAsia" w:ascii="仿宋" w:hAnsi="仿宋" w:eastAsia="仿宋"/>
                <w:sz w:val="24"/>
                <w:szCs w:val="24"/>
              </w:rPr>
            </w:pPr>
            <w:r>
              <w:rPr>
                <w:rFonts w:hint="eastAsia" w:ascii="仿宋" w:hAnsi="仿宋" w:eastAsia="仿宋"/>
                <w:sz w:val="24"/>
                <w:szCs w:val="24"/>
              </w:rPr>
              <w:t>3.单脉冲能量：≥0.5 mJ；</w:t>
            </w:r>
          </w:p>
          <w:p w14:paraId="6E2A02B8">
            <w:pPr>
              <w:snapToGrid w:val="0"/>
              <w:spacing w:line="240" w:lineRule="atLeast"/>
              <w:jc w:val="left"/>
              <w:rPr>
                <w:rFonts w:hint="eastAsia" w:ascii="仿宋" w:hAnsi="仿宋" w:eastAsia="仿宋"/>
                <w:sz w:val="24"/>
                <w:szCs w:val="24"/>
              </w:rPr>
            </w:pPr>
            <w:r>
              <w:rPr>
                <w:rFonts w:hint="eastAsia" w:ascii="仿宋" w:hAnsi="仿宋" w:eastAsia="仿宋"/>
                <w:sz w:val="24"/>
                <w:szCs w:val="24"/>
              </w:rPr>
              <w:t>4.功率稳定性：&lt;0.5% rms（24小时）；</w:t>
            </w:r>
          </w:p>
          <w:p w14:paraId="5CB746C0">
            <w:pPr>
              <w:snapToGrid w:val="0"/>
              <w:spacing w:line="240" w:lineRule="atLeast"/>
              <w:jc w:val="left"/>
              <w:rPr>
                <w:rFonts w:hint="eastAsia" w:ascii="仿宋" w:hAnsi="仿宋" w:eastAsia="仿宋"/>
                <w:sz w:val="24"/>
                <w:szCs w:val="24"/>
              </w:rPr>
            </w:pPr>
            <w:r>
              <w:rPr>
                <w:rFonts w:hint="eastAsia" w:ascii="仿宋" w:hAnsi="仿宋" w:eastAsia="仿宋"/>
                <w:sz w:val="24"/>
                <w:szCs w:val="24"/>
              </w:rPr>
              <w:t>5.偏振状态：线偏振，水平方向；</w:t>
            </w:r>
          </w:p>
          <w:p w14:paraId="7E2221F7">
            <w:pPr>
              <w:snapToGrid w:val="0"/>
              <w:spacing w:line="240" w:lineRule="atLeast"/>
              <w:jc w:val="left"/>
              <w:rPr>
                <w:rFonts w:hint="eastAsia" w:ascii="仿宋" w:hAnsi="仿宋" w:eastAsia="仿宋"/>
                <w:sz w:val="24"/>
                <w:szCs w:val="24"/>
              </w:rPr>
            </w:pPr>
            <w:r>
              <w:rPr>
                <w:rFonts w:hint="eastAsia" w:ascii="仿宋" w:hAnsi="仿宋" w:eastAsia="仿宋"/>
                <w:sz w:val="24"/>
                <w:szCs w:val="24"/>
              </w:rPr>
              <w:t>6.空间模式：TEMOO,M</w:t>
            </w:r>
            <w:r>
              <w:rPr>
                <w:rFonts w:ascii="Calibri" w:hAnsi="Calibri" w:eastAsia="仿宋" w:cs="Calibri"/>
                <w:sz w:val="24"/>
                <w:szCs w:val="24"/>
              </w:rPr>
              <w:t>²</w:t>
            </w:r>
            <w:r>
              <w:rPr>
                <w:rFonts w:hint="eastAsia" w:ascii="仿宋" w:hAnsi="仿宋" w:eastAsia="仿宋" w:cs="仿宋"/>
                <w:sz w:val="24"/>
                <w:szCs w:val="24"/>
              </w:rPr>
              <w:t>因子：</w:t>
            </w:r>
            <w:r>
              <w:rPr>
                <w:rFonts w:hint="eastAsia" w:ascii="仿宋" w:hAnsi="仿宋" w:eastAsia="仿宋"/>
                <w:sz w:val="24"/>
                <w:szCs w:val="24"/>
              </w:rPr>
              <w:t>≤1.25；</w:t>
            </w:r>
          </w:p>
          <w:p w14:paraId="24BFAB14">
            <w:pPr>
              <w:snapToGrid w:val="0"/>
              <w:spacing w:line="240" w:lineRule="atLeast"/>
              <w:jc w:val="left"/>
              <w:rPr>
                <w:rFonts w:ascii="仿宋" w:hAnsi="仿宋" w:eastAsia="仿宋"/>
                <w:sz w:val="24"/>
                <w:szCs w:val="24"/>
              </w:rPr>
            </w:pPr>
            <w:r>
              <w:rPr>
                <w:rFonts w:hint="eastAsia" w:ascii="仿宋" w:hAnsi="仿宋" w:eastAsia="仿宋"/>
                <w:sz w:val="24"/>
                <w:szCs w:val="24"/>
              </w:rPr>
              <w:t>7.光束直径（1/e</w:t>
            </w:r>
            <w:r>
              <w:rPr>
                <w:rFonts w:ascii="Calibri" w:hAnsi="Calibri" w:eastAsia="仿宋" w:cs="Calibri"/>
                <w:sz w:val="24"/>
                <w:szCs w:val="24"/>
              </w:rPr>
              <w:t>²</w:t>
            </w:r>
            <w:r>
              <w:rPr>
                <w:rFonts w:hint="eastAsia" w:ascii="仿宋" w:hAnsi="仿宋" w:eastAsia="仿宋" w:cs="仿宋"/>
                <w:sz w:val="24"/>
                <w:szCs w:val="24"/>
              </w:rPr>
              <w:t>，标称值）：</w:t>
            </w:r>
            <w:r>
              <w:rPr>
                <w:rFonts w:hint="eastAsia" w:ascii="仿宋" w:hAnsi="仿宋" w:eastAsia="仿宋"/>
                <w:sz w:val="24"/>
                <w:szCs w:val="24"/>
              </w:rPr>
              <w:t>11 mm ±1 mm ，典型值11mm；</w:t>
            </w:r>
          </w:p>
          <w:p w14:paraId="26B0E983">
            <w:pPr>
              <w:snapToGrid w:val="0"/>
              <w:spacing w:line="240" w:lineRule="atLeast"/>
              <w:jc w:val="left"/>
              <w:rPr>
                <w:rFonts w:ascii="仿宋" w:hAnsi="仿宋" w:eastAsia="仿宋"/>
                <w:sz w:val="24"/>
                <w:szCs w:val="24"/>
              </w:rPr>
            </w:pPr>
            <w:r>
              <w:rPr>
                <w:rFonts w:hint="eastAsia" w:ascii="仿宋" w:hAnsi="仿宋" w:eastAsia="仿宋"/>
                <w:sz w:val="24"/>
                <w:szCs w:val="24"/>
              </w:rPr>
              <w:t>8.脉宽：2-350ns；</w:t>
            </w:r>
          </w:p>
          <w:p w14:paraId="1BD02CC7">
            <w:pPr>
              <w:snapToGrid w:val="0"/>
              <w:spacing w:line="240" w:lineRule="atLeast"/>
              <w:jc w:val="left"/>
              <w:rPr>
                <w:rFonts w:ascii="仿宋" w:hAnsi="仿宋" w:eastAsia="仿宋"/>
                <w:sz w:val="24"/>
                <w:szCs w:val="24"/>
              </w:rPr>
            </w:pPr>
            <w:r>
              <w:rPr>
                <w:rFonts w:hint="eastAsia" w:ascii="仿宋" w:hAnsi="仿宋" w:eastAsia="仿宋"/>
                <w:sz w:val="24"/>
                <w:szCs w:val="24"/>
              </w:rPr>
              <w:t>9.刻蚀线宽：≥30μm。</w:t>
            </w:r>
          </w:p>
          <w:p w14:paraId="466A59DF">
            <w:pPr>
              <w:snapToGrid w:val="0"/>
              <w:spacing w:line="240" w:lineRule="atLeast"/>
              <w:jc w:val="left"/>
              <w:rPr>
                <w:rFonts w:ascii="仿宋" w:hAnsi="仿宋" w:eastAsia="仿宋"/>
                <w:sz w:val="24"/>
                <w:szCs w:val="24"/>
              </w:rPr>
            </w:pPr>
            <w:r>
              <w:rPr>
                <w:rFonts w:hint="eastAsia" w:ascii="仿宋" w:hAnsi="仿宋" w:eastAsia="仿宋"/>
                <w:sz w:val="24"/>
                <w:szCs w:val="24"/>
              </w:rPr>
              <w:t>三、系统通用参数：</w:t>
            </w:r>
          </w:p>
          <w:p w14:paraId="61ADB560">
            <w:pPr>
              <w:snapToGrid w:val="0"/>
              <w:spacing w:line="240" w:lineRule="atLeast"/>
              <w:jc w:val="left"/>
              <w:rPr>
                <w:rFonts w:ascii="仿宋" w:hAnsi="仿宋" w:eastAsia="仿宋"/>
                <w:sz w:val="24"/>
                <w:szCs w:val="24"/>
              </w:rPr>
            </w:pPr>
            <w:r>
              <w:rPr>
                <w:rFonts w:hint="eastAsia" w:ascii="仿宋" w:hAnsi="仿宋" w:eastAsia="仿宋"/>
                <w:sz w:val="24"/>
                <w:szCs w:val="24"/>
              </w:rPr>
              <w:t>1.直线度：±30μm；</w:t>
            </w:r>
          </w:p>
          <w:p w14:paraId="0D0A8FFF">
            <w:pPr>
              <w:snapToGrid w:val="0"/>
              <w:spacing w:line="240" w:lineRule="atLeast"/>
              <w:jc w:val="left"/>
              <w:rPr>
                <w:rFonts w:ascii="仿宋" w:hAnsi="仿宋" w:eastAsia="仿宋"/>
                <w:sz w:val="24"/>
                <w:szCs w:val="24"/>
              </w:rPr>
            </w:pPr>
            <w:r>
              <w:rPr>
                <w:rFonts w:hint="eastAsia" w:ascii="仿宋" w:hAnsi="仿宋" w:eastAsia="仿宋"/>
                <w:sz w:val="24"/>
                <w:szCs w:val="24"/>
              </w:rPr>
              <w:t>2.刻蚀扫描最大度：4000mm/s；</w:t>
            </w:r>
          </w:p>
          <w:p w14:paraId="18936F13">
            <w:pPr>
              <w:snapToGrid w:val="0"/>
              <w:spacing w:line="240" w:lineRule="atLeast"/>
              <w:jc w:val="left"/>
              <w:rPr>
                <w:rFonts w:ascii="仿宋" w:hAnsi="仿宋" w:eastAsia="仿宋"/>
                <w:sz w:val="24"/>
                <w:szCs w:val="24"/>
              </w:rPr>
            </w:pPr>
            <w:r>
              <w:rPr>
                <w:rFonts w:hint="eastAsia" w:ascii="仿宋" w:hAnsi="仿宋" w:eastAsia="仿宋"/>
                <w:sz w:val="24"/>
                <w:szCs w:val="24"/>
              </w:rPr>
              <w:t>3.CCD定位精度：±2μm；</w:t>
            </w:r>
          </w:p>
          <w:p w14:paraId="4C95285E">
            <w:pPr>
              <w:snapToGrid w:val="0"/>
              <w:spacing w:line="240" w:lineRule="atLeast"/>
              <w:jc w:val="left"/>
              <w:rPr>
                <w:rFonts w:ascii="仿宋" w:hAnsi="仿宋" w:eastAsia="仿宋"/>
                <w:sz w:val="24"/>
                <w:szCs w:val="24"/>
              </w:rPr>
            </w:pPr>
            <w:r>
              <w:rPr>
                <w:rFonts w:hint="eastAsia" w:ascii="仿宋" w:hAnsi="仿宋" w:eastAsia="仿宋"/>
                <w:sz w:val="24"/>
                <w:szCs w:val="24"/>
              </w:rPr>
              <w:t>4.加工幅面：400 mm×400mm；</w:t>
            </w:r>
          </w:p>
          <w:p w14:paraId="4BBF88DA">
            <w:pPr>
              <w:snapToGrid w:val="0"/>
              <w:spacing w:line="240" w:lineRule="atLeast"/>
              <w:jc w:val="left"/>
              <w:rPr>
                <w:rFonts w:hint="eastAsia" w:ascii="仿宋" w:hAnsi="仿宋" w:eastAsia="仿宋"/>
                <w:sz w:val="24"/>
                <w:szCs w:val="24"/>
              </w:rPr>
            </w:pPr>
            <w:r>
              <w:rPr>
                <w:rFonts w:hint="eastAsia" w:ascii="仿宋" w:hAnsi="仿宋" w:eastAsia="仿宋"/>
                <w:sz w:val="24"/>
                <w:szCs w:val="24"/>
              </w:rPr>
              <w:t>5.XY直线电机尺寸：400 mm×800</w:t>
            </w:r>
            <w:bookmarkStart w:id="46" w:name="OLE_LINK8"/>
            <w:r>
              <w:rPr>
                <w:rFonts w:hint="eastAsia" w:ascii="仿宋" w:hAnsi="仿宋" w:eastAsia="仿宋"/>
                <w:sz w:val="24"/>
                <w:szCs w:val="24"/>
              </w:rPr>
              <w:t>mm</w:t>
            </w:r>
            <w:bookmarkEnd w:id="46"/>
            <w:r>
              <w:rPr>
                <w:rFonts w:hint="eastAsia" w:ascii="仿宋" w:hAnsi="仿宋" w:eastAsia="仿宋"/>
                <w:sz w:val="24"/>
                <w:szCs w:val="24"/>
              </w:rPr>
              <w:t>。</w:t>
            </w:r>
          </w:p>
        </w:tc>
        <w:tc>
          <w:tcPr>
            <w:tcW w:w="658" w:type="dxa"/>
            <w:vAlign w:val="center"/>
          </w:tcPr>
          <w:p w14:paraId="0DF1F0DC">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进口</w:t>
            </w:r>
          </w:p>
        </w:tc>
      </w:tr>
      <w:tr w14:paraId="2FB4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0D4AFAB9">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7</w:t>
            </w:r>
          </w:p>
        </w:tc>
        <w:tc>
          <w:tcPr>
            <w:tcW w:w="1350" w:type="dxa"/>
            <w:vAlign w:val="center"/>
          </w:tcPr>
          <w:p w14:paraId="10813CF6">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YAG激光器</w:t>
            </w:r>
          </w:p>
        </w:tc>
        <w:tc>
          <w:tcPr>
            <w:tcW w:w="405" w:type="dxa"/>
            <w:vAlign w:val="center"/>
          </w:tcPr>
          <w:p w14:paraId="490C7438">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7DD373CA">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080" w:type="dxa"/>
            <w:vAlign w:val="center"/>
          </w:tcPr>
          <w:p w14:paraId="340DF85B">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1040000</w:t>
            </w:r>
          </w:p>
        </w:tc>
        <w:tc>
          <w:tcPr>
            <w:tcW w:w="4905" w:type="dxa"/>
            <w:vAlign w:val="center"/>
          </w:tcPr>
          <w:p w14:paraId="21201249">
            <w:pPr>
              <w:snapToGrid w:val="0"/>
              <w:spacing w:line="240" w:lineRule="atLeast"/>
              <w:jc w:val="left"/>
              <w:rPr>
                <w:rFonts w:ascii="仿宋" w:hAnsi="仿宋" w:eastAsia="仿宋"/>
                <w:sz w:val="24"/>
                <w:szCs w:val="24"/>
              </w:rPr>
            </w:pPr>
            <w:r>
              <w:rPr>
                <w:rFonts w:hint="eastAsia" w:ascii="仿宋" w:hAnsi="仿宋" w:eastAsia="仿宋"/>
                <w:sz w:val="24"/>
                <w:szCs w:val="24"/>
              </w:rPr>
              <w:t>1.输出功率：</w:t>
            </w:r>
          </w:p>
          <w:p w14:paraId="557CB880">
            <w:pPr>
              <w:snapToGrid w:val="0"/>
              <w:spacing w:line="240" w:lineRule="atLeast"/>
              <w:jc w:val="left"/>
              <w:rPr>
                <w:rFonts w:ascii="仿宋" w:hAnsi="仿宋" w:eastAsia="仿宋"/>
                <w:sz w:val="24"/>
                <w:szCs w:val="24"/>
              </w:rPr>
            </w:pPr>
            <w:r>
              <w:rPr>
                <w:rFonts w:hint="eastAsia" w:ascii="仿宋" w:hAnsi="仿宋" w:eastAsia="仿宋"/>
                <w:sz w:val="24"/>
                <w:szCs w:val="24"/>
              </w:rPr>
              <w:t>1）≥930 mW（最小指定带宽下）；</w:t>
            </w:r>
          </w:p>
          <w:p w14:paraId="2DA87D75">
            <w:pPr>
              <w:snapToGrid w:val="0"/>
              <w:spacing w:line="240" w:lineRule="atLeast"/>
              <w:jc w:val="left"/>
              <w:rPr>
                <w:rFonts w:ascii="仿宋" w:hAnsi="仿宋" w:eastAsia="仿宋"/>
                <w:sz w:val="24"/>
                <w:szCs w:val="24"/>
              </w:rPr>
            </w:pPr>
            <w:r>
              <w:rPr>
                <w:rFonts w:hint="eastAsia" w:ascii="仿宋" w:hAnsi="仿宋" w:eastAsia="仿宋"/>
                <w:sz w:val="24"/>
                <w:szCs w:val="24"/>
              </w:rPr>
              <w:t>2）≥850 mW（60 nm 带宽下）；</w:t>
            </w:r>
          </w:p>
          <w:p w14:paraId="382FE901">
            <w:pPr>
              <w:snapToGrid w:val="0"/>
              <w:spacing w:line="240" w:lineRule="atLeast"/>
              <w:jc w:val="left"/>
              <w:rPr>
                <w:rFonts w:ascii="仿宋" w:hAnsi="仿宋" w:eastAsia="仿宋"/>
                <w:sz w:val="24"/>
                <w:szCs w:val="24"/>
              </w:rPr>
            </w:pPr>
            <w:r>
              <w:rPr>
                <w:rFonts w:hint="eastAsia" w:ascii="仿宋" w:hAnsi="仿宋" w:eastAsia="仿宋"/>
                <w:sz w:val="24"/>
                <w:szCs w:val="24"/>
              </w:rPr>
              <w:t>3）≥800 mW（最大指定带宽下）；</w:t>
            </w:r>
          </w:p>
          <w:p w14:paraId="03D125B6">
            <w:pPr>
              <w:snapToGrid w:val="0"/>
              <w:spacing w:line="240" w:lineRule="atLeast"/>
              <w:jc w:val="left"/>
              <w:rPr>
                <w:rFonts w:hint="eastAsia" w:ascii="仿宋" w:hAnsi="仿宋" w:eastAsia="仿宋"/>
                <w:sz w:val="24"/>
                <w:szCs w:val="24"/>
              </w:rPr>
            </w:pPr>
            <w:r>
              <w:rPr>
                <w:rFonts w:hint="eastAsia" w:ascii="仿宋" w:hAnsi="仿宋" w:eastAsia="仿宋"/>
                <w:sz w:val="24"/>
                <w:szCs w:val="24"/>
              </w:rPr>
              <w:t>4）功率≤2J 。</w:t>
            </w:r>
          </w:p>
          <w:p w14:paraId="09A0589D">
            <w:pPr>
              <w:snapToGrid w:val="0"/>
              <w:spacing w:line="240" w:lineRule="atLeast"/>
              <w:jc w:val="left"/>
              <w:rPr>
                <w:rFonts w:hint="eastAsia" w:ascii="仿宋" w:hAnsi="仿宋" w:eastAsia="仿宋"/>
                <w:sz w:val="24"/>
                <w:szCs w:val="24"/>
              </w:rPr>
            </w:pPr>
            <w:r>
              <w:rPr>
                <w:rFonts w:hint="eastAsia" w:ascii="仿宋" w:hAnsi="仿宋" w:eastAsia="仿宋"/>
                <w:sz w:val="24"/>
                <w:szCs w:val="24"/>
              </w:rPr>
              <w:t>2.光谱带宽：大于40nm</w:t>
            </w:r>
          </w:p>
          <w:p w14:paraId="677439ED">
            <w:pPr>
              <w:snapToGrid w:val="0"/>
              <w:spacing w:line="240" w:lineRule="atLeast"/>
              <w:jc w:val="left"/>
              <w:rPr>
                <w:rFonts w:hint="eastAsia" w:ascii="仿宋" w:hAnsi="仿宋" w:eastAsia="仿宋"/>
                <w:sz w:val="24"/>
                <w:szCs w:val="24"/>
              </w:rPr>
            </w:pPr>
            <w:r>
              <w:rPr>
                <w:rFonts w:hint="eastAsia" w:ascii="仿宋" w:hAnsi="仿宋" w:eastAsia="仿宋"/>
                <w:sz w:val="24"/>
                <w:szCs w:val="24"/>
              </w:rPr>
              <w:t>3.可调谐波长范围：355–1064 nm; 额外搭配滤波等器件进一步筛选波段至以下：765-810nm; 775–820 nm;795–805 nm</w:t>
            </w:r>
          </w:p>
          <w:p w14:paraId="70DF3075">
            <w:pPr>
              <w:snapToGrid w:val="0"/>
              <w:spacing w:line="240" w:lineRule="atLeast"/>
              <w:jc w:val="left"/>
              <w:rPr>
                <w:rFonts w:hint="eastAsia" w:ascii="仿宋" w:hAnsi="仿宋" w:eastAsia="仿宋"/>
                <w:sz w:val="24"/>
                <w:szCs w:val="24"/>
              </w:rPr>
            </w:pPr>
            <w:r>
              <w:rPr>
                <w:rFonts w:hint="eastAsia" w:ascii="仿宋" w:hAnsi="仿宋" w:eastAsia="仿宋"/>
                <w:sz w:val="24"/>
                <w:szCs w:val="24"/>
              </w:rPr>
              <w:t>4.非压缩脉冲宽度：&lt;20 fs（典型值 &lt;15 fs）</w:t>
            </w:r>
          </w:p>
          <w:p w14:paraId="3D52DFE8">
            <w:pPr>
              <w:snapToGrid w:val="0"/>
              <w:spacing w:line="240" w:lineRule="atLeast"/>
              <w:jc w:val="left"/>
              <w:rPr>
                <w:rFonts w:hint="eastAsia" w:ascii="仿宋" w:hAnsi="仿宋" w:eastAsia="仿宋"/>
                <w:sz w:val="24"/>
                <w:szCs w:val="24"/>
              </w:rPr>
            </w:pPr>
            <w:r>
              <w:rPr>
                <w:rFonts w:hint="eastAsia" w:ascii="仿宋" w:hAnsi="仿宋" w:eastAsia="仿宋"/>
                <w:sz w:val="24"/>
                <w:szCs w:val="24"/>
              </w:rPr>
              <w:t>5.噪声水平：&lt;0.05% rms</w:t>
            </w:r>
          </w:p>
          <w:p w14:paraId="2F64943C">
            <w:pPr>
              <w:snapToGrid w:val="0"/>
              <w:spacing w:line="240" w:lineRule="atLeast"/>
              <w:jc w:val="left"/>
              <w:rPr>
                <w:rFonts w:hint="eastAsia" w:ascii="仿宋" w:hAnsi="仿宋" w:eastAsia="仿宋"/>
                <w:sz w:val="24"/>
                <w:szCs w:val="24"/>
              </w:rPr>
            </w:pPr>
            <w:r>
              <w:rPr>
                <w:rFonts w:hint="eastAsia" w:ascii="仿宋" w:hAnsi="仿宋" w:eastAsia="仿宋"/>
                <w:sz w:val="24"/>
                <w:szCs w:val="24"/>
              </w:rPr>
              <w:t>6.功率稳定性：±0.5%</w:t>
            </w:r>
          </w:p>
          <w:p w14:paraId="40978A2E">
            <w:pPr>
              <w:snapToGrid w:val="0"/>
              <w:spacing w:line="240" w:lineRule="atLeast"/>
              <w:jc w:val="left"/>
              <w:rPr>
                <w:rFonts w:hint="eastAsia" w:ascii="仿宋" w:hAnsi="仿宋" w:eastAsia="仿宋"/>
                <w:sz w:val="24"/>
                <w:szCs w:val="24"/>
              </w:rPr>
            </w:pPr>
            <w:r>
              <w:rPr>
                <w:rFonts w:hint="eastAsia" w:ascii="仿宋" w:hAnsi="仿宋" w:eastAsia="仿宋"/>
                <w:sz w:val="24"/>
                <w:szCs w:val="24"/>
              </w:rPr>
              <w:t>7.重复频率：80 MHz</w:t>
            </w:r>
          </w:p>
          <w:p w14:paraId="16FD8B29">
            <w:pPr>
              <w:snapToGrid w:val="0"/>
              <w:spacing w:line="240" w:lineRule="atLeast"/>
              <w:jc w:val="left"/>
              <w:rPr>
                <w:rFonts w:hint="eastAsia" w:ascii="仿宋" w:hAnsi="仿宋" w:eastAsia="仿宋"/>
                <w:sz w:val="24"/>
                <w:szCs w:val="24"/>
              </w:rPr>
            </w:pPr>
            <w:r>
              <w:rPr>
                <w:rFonts w:hint="eastAsia" w:ascii="仿宋" w:hAnsi="仿宋" w:eastAsia="仿宋"/>
                <w:sz w:val="24"/>
                <w:szCs w:val="24"/>
              </w:rPr>
              <w:t>8.空间模式：TEMOO,M</w:t>
            </w:r>
            <w:r>
              <w:rPr>
                <w:rFonts w:ascii="Calibri" w:hAnsi="Calibri" w:eastAsia="仿宋" w:cs="Calibri"/>
                <w:sz w:val="24"/>
                <w:szCs w:val="24"/>
              </w:rPr>
              <w:t>²</w:t>
            </w:r>
            <w:r>
              <w:rPr>
                <w:rFonts w:hint="eastAsia" w:ascii="仿宋" w:hAnsi="仿宋" w:eastAsia="仿宋" w:cs="仿宋"/>
                <w:sz w:val="24"/>
                <w:szCs w:val="24"/>
              </w:rPr>
              <w:t>因子：</w:t>
            </w:r>
            <w:r>
              <w:rPr>
                <w:rFonts w:hint="eastAsia" w:ascii="仿宋" w:hAnsi="仿宋" w:eastAsia="仿宋"/>
                <w:sz w:val="24"/>
                <w:szCs w:val="24"/>
              </w:rPr>
              <w:t>≤1.3</w:t>
            </w:r>
          </w:p>
        </w:tc>
        <w:tc>
          <w:tcPr>
            <w:tcW w:w="658" w:type="dxa"/>
            <w:vAlign w:val="center"/>
          </w:tcPr>
          <w:p w14:paraId="17D05E0B">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进口</w:t>
            </w:r>
          </w:p>
        </w:tc>
      </w:tr>
      <w:tr w14:paraId="2580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5C03AF3B">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8</w:t>
            </w:r>
          </w:p>
        </w:tc>
        <w:tc>
          <w:tcPr>
            <w:tcW w:w="1350" w:type="dxa"/>
            <w:vAlign w:val="center"/>
          </w:tcPr>
          <w:p w14:paraId="14665D14">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1064nm单频激光器</w:t>
            </w:r>
          </w:p>
        </w:tc>
        <w:tc>
          <w:tcPr>
            <w:tcW w:w="405" w:type="dxa"/>
            <w:vAlign w:val="center"/>
          </w:tcPr>
          <w:p w14:paraId="360D784C">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3DCCBFA5">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台</w:t>
            </w:r>
          </w:p>
        </w:tc>
        <w:tc>
          <w:tcPr>
            <w:tcW w:w="1080" w:type="dxa"/>
            <w:vAlign w:val="center"/>
          </w:tcPr>
          <w:p w14:paraId="72E0F415">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563000</w:t>
            </w:r>
          </w:p>
        </w:tc>
        <w:tc>
          <w:tcPr>
            <w:tcW w:w="4905" w:type="dxa"/>
            <w:vAlign w:val="center"/>
          </w:tcPr>
          <w:p w14:paraId="431D8106">
            <w:pPr>
              <w:snapToGrid w:val="0"/>
              <w:spacing w:line="240" w:lineRule="atLeast"/>
              <w:jc w:val="left"/>
              <w:rPr>
                <w:rFonts w:hint="eastAsia" w:ascii="仿宋" w:hAnsi="仿宋" w:eastAsia="仿宋"/>
                <w:sz w:val="24"/>
                <w:szCs w:val="24"/>
              </w:rPr>
            </w:pPr>
            <w:r>
              <w:rPr>
                <w:rFonts w:hint="eastAsia" w:ascii="仿宋" w:hAnsi="仿宋" w:eastAsia="仿宋"/>
                <w:sz w:val="24"/>
                <w:szCs w:val="24"/>
              </w:rPr>
              <w:t>1.</w:t>
            </w:r>
            <w:r>
              <w:rPr>
                <w:rFonts w:hint="eastAsia" w:ascii="宋体" w:hAnsi="宋体" w:eastAsia="宋体" w:cs="宋体"/>
                <w:spacing w:val="-6"/>
                <w:sz w:val="21"/>
                <w:szCs w:val="21"/>
                <w:highlight w:val="none"/>
              </w:rPr>
              <w:t>★</w:t>
            </w:r>
            <w:r>
              <w:rPr>
                <w:rFonts w:hint="eastAsia" w:ascii="仿宋" w:hAnsi="仿宋" w:eastAsia="仿宋"/>
                <w:sz w:val="24"/>
                <w:szCs w:val="24"/>
              </w:rPr>
              <w:t>波长：全固态DPSS窄线宽单频激光器，中心波长1064 nm</w:t>
            </w:r>
          </w:p>
          <w:p w14:paraId="5DEB9513">
            <w:pPr>
              <w:snapToGrid w:val="0"/>
              <w:spacing w:line="240" w:lineRule="atLeast"/>
              <w:jc w:val="left"/>
              <w:rPr>
                <w:rFonts w:hint="eastAsia" w:ascii="仿宋" w:hAnsi="仿宋" w:eastAsia="仿宋"/>
                <w:sz w:val="24"/>
                <w:szCs w:val="24"/>
              </w:rPr>
            </w:pPr>
            <w:r>
              <w:rPr>
                <w:rFonts w:hint="eastAsia" w:ascii="仿宋" w:hAnsi="仿宋" w:eastAsia="仿宋"/>
                <w:sz w:val="24"/>
                <w:szCs w:val="24"/>
              </w:rPr>
              <w:t>2.功率：＞50W</w:t>
            </w:r>
          </w:p>
          <w:p w14:paraId="31C2E833">
            <w:pPr>
              <w:snapToGrid w:val="0"/>
              <w:spacing w:line="240" w:lineRule="atLeast"/>
              <w:jc w:val="left"/>
              <w:rPr>
                <w:rFonts w:hint="eastAsia" w:ascii="仿宋" w:hAnsi="仿宋" w:eastAsia="仿宋"/>
                <w:sz w:val="24"/>
                <w:szCs w:val="24"/>
              </w:rPr>
            </w:pPr>
            <w:r>
              <w:rPr>
                <w:rFonts w:hint="eastAsia" w:ascii="仿宋" w:hAnsi="仿宋" w:eastAsia="仿宋"/>
                <w:sz w:val="24"/>
                <w:szCs w:val="24"/>
              </w:rPr>
              <w:t>3.运行模式:连续波</w:t>
            </w:r>
          </w:p>
          <w:p w14:paraId="1D52AE64">
            <w:pPr>
              <w:snapToGrid w:val="0"/>
              <w:spacing w:line="240" w:lineRule="atLeast"/>
              <w:jc w:val="left"/>
              <w:rPr>
                <w:rFonts w:hint="eastAsia" w:ascii="仿宋" w:hAnsi="仿宋" w:eastAsia="仿宋"/>
                <w:sz w:val="24"/>
                <w:szCs w:val="24"/>
              </w:rPr>
            </w:pPr>
            <w:r>
              <w:rPr>
                <w:rFonts w:hint="eastAsia" w:ascii="仿宋" w:hAnsi="仿宋" w:eastAsia="仿宋"/>
                <w:sz w:val="24"/>
                <w:szCs w:val="24"/>
              </w:rPr>
              <w:t>4.空间模式:TEM00 (M</w:t>
            </w:r>
            <w:r>
              <w:rPr>
                <w:rFonts w:hint="eastAsia" w:ascii="仿宋" w:hAnsi="仿宋" w:eastAsia="仿宋"/>
                <w:sz w:val="24"/>
                <w:szCs w:val="24"/>
                <w:vertAlign w:val="superscript"/>
              </w:rPr>
              <w:t>2</w:t>
            </w:r>
            <w:r>
              <w:rPr>
                <w:rFonts w:hint="eastAsia" w:ascii="仿宋" w:hAnsi="仿宋" w:eastAsia="仿宋"/>
                <w:sz w:val="24"/>
                <w:szCs w:val="24"/>
              </w:rPr>
              <w:t xml:space="preserve"> &lt;1.3)</w:t>
            </w:r>
          </w:p>
          <w:p w14:paraId="07F8FF35">
            <w:pPr>
              <w:snapToGrid w:val="0"/>
              <w:spacing w:line="240" w:lineRule="atLeast"/>
              <w:jc w:val="left"/>
              <w:rPr>
                <w:rFonts w:hint="eastAsia" w:ascii="仿宋" w:hAnsi="仿宋" w:eastAsia="仿宋"/>
                <w:sz w:val="24"/>
                <w:szCs w:val="24"/>
              </w:rPr>
            </w:pPr>
            <w:r>
              <w:rPr>
                <w:rFonts w:hint="eastAsia" w:ascii="仿宋" w:hAnsi="仿宋" w:eastAsia="仿宋"/>
                <w:sz w:val="24"/>
                <w:szCs w:val="24"/>
              </w:rPr>
              <w:t>5.光斑质量:&lt;1.1</w:t>
            </w:r>
          </w:p>
          <w:p w14:paraId="766355AA">
            <w:pPr>
              <w:snapToGrid w:val="0"/>
              <w:spacing w:line="240" w:lineRule="atLeast"/>
              <w:jc w:val="left"/>
              <w:rPr>
                <w:rFonts w:hint="eastAsia" w:ascii="仿宋" w:hAnsi="仿宋" w:eastAsia="仿宋"/>
                <w:sz w:val="24"/>
                <w:szCs w:val="24"/>
              </w:rPr>
            </w:pPr>
            <w:r>
              <w:rPr>
                <w:rFonts w:hint="eastAsia" w:ascii="仿宋" w:hAnsi="仿宋" w:eastAsia="仿宋"/>
                <w:sz w:val="24"/>
                <w:szCs w:val="24"/>
              </w:rPr>
              <w:t>6.输出光谱:单频</w:t>
            </w:r>
          </w:p>
          <w:p w14:paraId="5BDA4A8D">
            <w:pPr>
              <w:snapToGrid w:val="0"/>
              <w:spacing w:line="240" w:lineRule="atLeast"/>
              <w:jc w:val="left"/>
              <w:rPr>
                <w:rFonts w:hint="eastAsia" w:ascii="仿宋" w:hAnsi="仿宋" w:eastAsia="仿宋"/>
                <w:sz w:val="24"/>
                <w:szCs w:val="24"/>
              </w:rPr>
            </w:pPr>
            <w:r>
              <w:rPr>
                <w:rFonts w:hint="eastAsia" w:ascii="仿宋" w:hAnsi="仿宋" w:eastAsia="仿宋"/>
                <w:sz w:val="24"/>
                <w:szCs w:val="24"/>
              </w:rPr>
              <w:t>7.</w:t>
            </w:r>
            <w:r>
              <w:rPr>
                <w:rFonts w:hint="eastAsia" w:ascii="宋体" w:hAnsi="宋体" w:eastAsia="宋体" w:cs="宋体"/>
                <w:spacing w:val="-6"/>
                <w:sz w:val="21"/>
                <w:szCs w:val="21"/>
                <w:highlight w:val="none"/>
              </w:rPr>
              <w:t>★</w:t>
            </w:r>
            <w:r>
              <w:rPr>
                <w:rFonts w:hint="eastAsia" w:ascii="仿宋" w:hAnsi="仿宋" w:eastAsia="仿宋"/>
                <w:sz w:val="24"/>
                <w:szCs w:val="24"/>
              </w:rPr>
              <w:t>线宽（≥ 100ms）:≤3KHz</w:t>
            </w:r>
          </w:p>
          <w:p w14:paraId="606ADD5C">
            <w:pPr>
              <w:snapToGrid w:val="0"/>
              <w:spacing w:line="240" w:lineRule="atLeast"/>
              <w:jc w:val="left"/>
              <w:rPr>
                <w:rFonts w:hint="eastAsia" w:ascii="仿宋" w:hAnsi="仿宋" w:eastAsia="仿宋"/>
                <w:sz w:val="24"/>
                <w:szCs w:val="24"/>
              </w:rPr>
            </w:pPr>
            <w:r>
              <w:rPr>
                <w:rFonts w:hint="eastAsia" w:ascii="仿宋" w:hAnsi="仿宋" w:eastAsia="仿宋"/>
                <w:sz w:val="24"/>
                <w:szCs w:val="24"/>
              </w:rPr>
              <w:t>8.相干长度（km）:&gt;1</w:t>
            </w:r>
          </w:p>
          <w:p w14:paraId="7EBAFFF7">
            <w:pPr>
              <w:snapToGrid w:val="0"/>
              <w:spacing w:line="240" w:lineRule="atLeast"/>
              <w:jc w:val="left"/>
              <w:rPr>
                <w:rFonts w:hint="eastAsia" w:ascii="仿宋" w:hAnsi="仿宋" w:eastAsia="仿宋"/>
                <w:sz w:val="24"/>
                <w:szCs w:val="24"/>
              </w:rPr>
            </w:pPr>
            <w:r>
              <w:rPr>
                <w:rFonts w:hint="eastAsia" w:ascii="仿宋" w:hAnsi="仿宋" w:eastAsia="仿宋"/>
                <w:sz w:val="24"/>
                <w:szCs w:val="24"/>
              </w:rPr>
              <w:t>9.频率稳定性[MHz/min]:≤2</w:t>
            </w:r>
          </w:p>
          <w:p w14:paraId="66FA95FF">
            <w:pPr>
              <w:snapToGrid w:val="0"/>
              <w:spacing w:line="240" w:lineRule="atLeast"/>
              <w:jc w:val="left"/>
              <w:rPr>
                <w:rFonts w:hint="eastAsia" w:ascii="仿宋" w:hAnsi="仿宋" w:eastAsia="仿宋"/>
                <w:sz w:val="24"/>
                <w:szCs w:val="24"/>
              </w:rPr>
            </w:pPr>
            <w:r>
              <w:rPr>
                <w:rFonts w:hint="eastAsia" w:ascii="仿宋" w:hAnsi="仿宋" w:eastAsia="仿宋"/>
                <w:sz w:val="24"/>
                <w:szCs w:val="24"/>
              </w:rPr>
              <w:t>10.</w:t>
            </w:r>
            <w:r>
              <w:rPr>
                <w:rFonts w:hint="eastAsia" w:ascii="宋体" w:hAnsi="宋体" w:eastAsia="宋体" w:cs="宋体"/>
                <w:spacing w:val="-6"/>
                <w:sz w:val="21"/>
                <w:szCs w:val="21"/>
                <w:highlight w:val="none"/>
              </w:rPr>
              <w:t>★</w:t>
            </w:r>
            <w:r>
              <w:rPr>
                <w:rFonts w:hint="eastAsia" w:ascii="仿宋" w:hAnsi="仿宋" w:eastAsia="仿宋"/>
                <w:sz w:val="24"/>
                <w:szCs w:val="24"/>
              </w:rPr>
              <w:t>相对强度噪声(RIN) (dB/Hz), f &gt;20 kHz: &lt;-130</w:t>
            </w:r>
          </w:p>
          <w:p w14:paraId="3B00ACFC">
            <w:pPr>
              <w:snapToGrid w:val="0"/>
              <w:spacing w:line="240" w:lineRule="atLeast"/>
              <w:jc w:val="left"/>
              <w:rPr>
                <w:rFonts w:hint="eastAsia" w:ascii="仿宋" w:hAnsi="仿宋" w:eastAsia="仿宋"/>
                <w:sz w:val="24"/>
                <w:szCs w:val="24"/>
              </w:rPr>
            </w:pPr>
            <w:r>
              <w:rPr>
                <w:rFonts w:hint="eastAsia" w:ascii="仿宋" w:hAnsi="仿宋" w:eastAsia="仿宋"/>
                <w:sz w:val="24"/>
                <w:szCs w:val="24"/>
              </w:rPr>
              <w:t>11.光学强度噪声 10 Hz -2 MHz (% rms): &lt;0.06</w:t>
            </w:r>
          </w:p>
        </w:tc>
        <w:tc>
          <w:tcPr>
            <w:tcW w:w="658" w:type="dxa"/>
            <w:vAlign w:val="center"/>
          </w:tcPr>
          <w:p w14:paraId="23F913FE">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进口</w:t>
            </w:r>
          </w:p>
        </w:tc>
      </w:tr>
      <w:tr w14:paraId="1CE8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2" w:type="dxa"/>
            <w:vAlign w:val="center"/>
          </w:tcPr>
          <w:p w14:paraId="610520BE">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9</w:t>
            </w:r>
          </w:p>
        </w:tc>
        <w:tc>
          <w:tcPr>
            <w:tcW w:w="1350" w:type="dxa"/>
            <w:vAlign w:val="center"/>
          </w:tcPr>
          <w:p w14:paraId="1CC61602">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超稳激光器系统</w:t>
            </w:r>
          </w:p>
        </w:tc>
        <w:tc>
          <w:tcPr>
            <w:tcW w:w="405" w:type="dxa"/>
            <w:vAlign w:val="center"/>
          </w:tcPr>
          <w:p w14:paraId="7646FD4D">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1</w:t>
            </w:r>
          </w:p>
        </w:tc>
        <w:tc>
          <w:tcPr>
            <w:tcW w:w="510" w:type="dxa"/>
            <w:vAlign w:val="center"/>
          </w:tcPr>
          <w:p w14:paraId="1C70641E">
            <w:pPr>
              <w:widowControl/>
              <w:snapToGrid w:val="0"/>
              <w:spacing w:line="240" w:lineRule="atLeast"/>
              <w:jc w:val="center"/>
              <w:rPr>
                <w:rFonts w:hint="eastAsia" w:ascii="仿宋" w:hAnsi="仿宋" w:eastAsia="仿宋" w:cs="宋体"/>
                <w:sz w:val="24"/>
                <w:szCs w:val="24"/>
              </w:rPr>
            </w:pPr>
            <w:r>
              <w:rPr>
                <w:rFonts w:hint="eastAsia" w:ascii="仿宋" w:hAnsi="仿宋" w:eastAsia="仿宋" w:cs="宋体"/>
                <w:sz w:val="24"/>
                <w:szCs w:val="24"/>
              </w:rPr>
              <w:t>套</w:t>
            </w:r>
          </w:p>
        </w:tc>
        <w:tc>
          <w:tcPr>
            <w:tcW w:w="1080" w:type="dxa"/>
            <w:vAlign w:val="center"/>
          </w:tcPr>
          <w:p w14:paraId="1EBD912B">
            <w:pPr>
              <w:snapToGrid w:val="0"/>
              <w:spacing w:line="240" w:lineRule="atLeast"/>
              <w:jc w:val="center"/>
              <w:rPr>
                <w:rFonts w:hint="eastAsia" w:ascii="仿宋" w:hAnsi="仿宋" w:eastAsia="仿宋"/>
                <w:sz w:val="24"/>
                <w:szCs w:val="24"/>
              </w:rPr>
            </w:pPr>
            <w:r>
              <w:rPr>
                <w:rFonts w:hint="eastAsia" w:ascii="仿宋" w:hAnsi="仿宋" w:eastAsia="仿宋"/>
                <w:sz w:val="24"/>
                <w:szCs w:val="24"/>
              </w:rPr>
              <w:t>2937000</w:t>
            </w:r>
          </w:p>
        </w:tc>
        <w:tc>
          <w:tcPr>
            <w:tcW w:w="4905" w:type="dxa"/>
            <w:vAlign w:val="center"/>
          </w:tcPr>
          <w:p w14:paraId="7A430821">
            <w:pPr>
              <w:snapToGrid w:val="0"/>
              <w:spacing w:line="240" w:lineRule="atLeast"/>
              <w:jc w:val="left"/>
              <w:rPr>
                <w:rFonts w:hint="eastAsia" w:ascii="仿宋" w:hAnsi="仿宋" w:eastAsia="仿宋"/>
                <w:sz w:val="24"/>
                <w:szCs w:val="24"/>
              </w:rPr>
            </w:pPr>
            <w:r>
              <w:rPr>
                <w:rFonts w:hint="eastAsia" w:ascii="仿宋" w:hAnsi="仿宋" w:eastAsia="仿宋"/>
                <w:sz w:val="24"/>
                <w:szCs w:val="24"/>
              </w:rPr>
              <w:t>1.</w:t>
            </w:r>
            <w:r>
              <w:rPr>
                <w:rFonts w:hint="eastAsia" w:ascii="宋体" w:hAnsi="宋体" w:eastAsia="宋体" w:cs="宋体"/>
                <w:spacing w:val="-6"/>
                <w:sz w:val="21"/>
                <w:szCs w:val="21"/>
                <w:highlight w:val="none"/>
              </w:rPr>
              <w:t>★</w:t>
            </w:r>
            <w:r>
              <w:rPr>
                <w:rFonts w:hint="eastAsia" w:ascii="仿宋" w:hAnsi="仿宋" w:eastAsia="仿宋"/>
                <w:sz w:val="24"/>
                <w:szCs w:val="24"/>
              </w:rPr>
              <w:t>稳定度&lt;7×10</w:t>
            </w:r>
            <w:r>
              <w:rPr>
                <w:rFonts w:hint="eastAsia" w:ascii="仿宋" w:hAnsi="仿宋" w:eastAsia="仿宋"/>
                <w:sz w:val="24"/>
                <w:szCs w:val="24"/>
                <w:vertAlign w:val="superscript"/>
              </w:rPr>
              <w:t>-16</w:t>
            </w:r>
            <w:r>
              <w:rPr>
                <w:rFonts w:hint="eastAsia" w:ascii="仿宋" w:hAnsi="仿宋" w:eastAsia="仿宋"/>
                <w:sz w:val="24"/>
                <w:szCs w:val="24"/>
              </w:rPr>
              <w:t>@1s（MADEV，去除线性漂移）；</w:t>
            </w:r>
          </w:p>
          <w:p w14:paraId="789BC163">
            <w:pPr>
              <w:snapToGrid w:val="0"/>
              <w:spacing w:line="240" w:lineRule="atLeast"/>
              <w:jc w:val="left"/>
              <w:rPr>
                <w:rFonts w:hint="eastAsia" w:ascii="仿宋" w:hAnsi="仿宋" w:eastAsia="仿宋"/>
                <w:sz w:val="24"/>
                <w:szCs w:val="24"/>
              </w:rPr>
            </w:pPr>
            <w:r>
              <w:rPr>
                <w:rFonts w:hint="eastAsia" w:ascii="仿宋" w:hAnsi="仿宋" w:eastAsia="仿宋"/>
                <w:sz w:val="24"/>
                <w:szCs w:val="24"/>
              </w:rPr>
              <w:t>2.波长：1550 nm</w:t>
            </w:r>
          </w:p>
          <w:p w14:paraId="0A56E648">
            <w:pPr>
              <w:snapToGrid w:val="0"/>
              <w:spacing w:line="240" w:lineRule="atLeast"/>
              <w:jc w:val="left"/>
              <w:rPr>
                <w:rFonts w:hint="eastAsia" w:ascii="仿宋" w:hAnsi="仿宋" w:eastAsia="仿宋"/>
                <w:sz w:val="24"/>
                <w:szCs w:val="24"/>
              </w:rPr>
            </w:pPr>
            <w:r>
              <w:rPr>
                <w:rFonts w:hint="eastAsia" w:ascii="仿宋" w:hAnsi="仿宋" w:eastAsia="仿宋"/>
                <w:sz w:val="24"/>
                <w:szCs w:val="24"/>
              </w:rPr>
              <w:t>3.线宽：&lt;1 Hz（去除线性漂移，采样时间2.5 s）；</w:t>
            </w:r>
          </w:p>
          <w:p w14:paraId="42CD209D">
            <w:pPr>
              <w:snapToGrid w:val="0"/>
              <w:spacing w:line="240" w:lineRule="atLeast"/>
              <w:jc w:val="left"/>
              <w:rPr>
                <w:rFonts w:hint="eastAsia" w:ascii="仿宋" w:hAnsi="仿宋" w:eastAsia="仿宋"/>
                <w:sz w:val="24"/>
                <w:szCs w:val="24"/>
              </w:rPr>
            </w:pPr>
            <w:r>
              <w:rPr>
                <w:rFonts w:hint="eastAsia" w:ascii="仿宋" w:hAnsi="仿宋" w:eastAsia="仿宋"/>
                <w:sz w:val="24"/>
                <w:szCs w:val="24"/>
              </w:rPr>
              <w:t>4.相位噪声&lt;-44 dBc/Hz (在10 Hz处)；</w:t>
            </w:r>
          </w:p>
          <w:p w14:paraId="5268F350">
            <w:pPr>
              <w:snapToGrid w:val="0"/>
              <w:spacing w:line="240" w:lineRule="atLeast"/>
              <w:jc w:val="left"/>
              <w:rPr>
                <w:rFonts w:hint="eastAsia" w:ascii="仿宋" w:hAnsi="仿宋" w:eastAsia="仿宋"/>
                <w:sz w:val="24"/>
                <w:szCs w:val="24"/>
              </w:rPr>
            </w:pPr>
            <w:r>
              <w:rPr>
                <w:rFonts w:hint="eastAsia" w:ascii="仿宋" w:hAnsi="仿宋" w:eastAsia="仿宋"/>
                <w:sz w:val="24"/>
                <w:szCs w:val="24"/>
              </w:rPr>
              <w:t>5.腔长12.1 cm， ULE材质腔体，腔镜采用晶体膜</w:t>
            </w:r>
          </w:p>
          <w:p w14:paraId="1F4B1A75">
            <w:pPr>
              <w:snapToGrid w:val="0"/>
              <w:spacing w:line="240" w:lineRule="atLeast"/>
              <w:jc w:val="left"/>
              <w:rPr>
                <w:rFonts w:hint="eastAsia" w:ascii="仿宋" w:hAnsi="仿宋" w:eastAsia="仿宋"/>
                <w:sz w:val="24"/>
                <w:szCs w:val="24"/>
              </w:rPr>
            </w:pPr>
            <w:r>
              <w:rPr>
                <w:rFonts w:hint="eastAsia" w:ascii="仿宋" w:hAnsi="仿宋" w:eastAsia="仿宋"/>
                <w:sz w:val="24"/>
                <w:szCs w:val="24"/>
              </w:rPr>
              <w:t>6.输出功率&gt;20mW；</w:t>
            </w:r>
          </w:p>
          <w:p w14:paraId="1F42BE8B">
            <w:pPr>
              <w:snapToGrid w:val="0"/>
              <w:spacing w:line="240" w:lineRule="atLeast"/>
              <w:jc w:val="left"/>
              <w:rPr>
                <w:rFonts w:hint="eastAsia" w:ascii="仿宋" w:hAnsi="仿宋" w:eastAsia="仿宋"/>
                <w:sz w:val="24"/>
                <w:szCs w:val="24"/>
              </w:rPr>
            </w:pPr>
            <w:r>
              <w:rPr>
                <w:rFonts w:hint="eastAsia" w:ascii="仿宋" w:hAnsi="仿宋" w:eastAsia="仿宋"/>
                <w:sz w:val="24"/>
                <w:szCs w:val="24"/>
              </w:rPr>
              <w:t>7.输出形式：保偏光纤耦合，FC/APC接口</w:t>
            </w:r>
          </w:p>
          <w:p w14:paraId="5E948B46">
            <w:pPr>
              <w:snapToGrid w:val="0"/>
              <w:spacing w:line="240" w:lineRule="atLeast"/>
              <w:jc w:val="left"/>
              <w:rPr>
                <w:rFonts w:hint="eastAsia" w:ascii="仿宋" w:hAnsi="仿宋" w:eastAsia="仿宋"/>
                <w:sz w:val="24"/>
                <w:szCs w:val="24"/>
              </w:rPr>
            </w:pPr>
            <w:r>
              <w:rPr>
                <w:rFonts w:hint="eastAsia" w:ascii="仿宋" w:hAnsi="仿宋" w:eastAsia="仿宋"/>
                <w:sz w:val="24"/>
                <w:szCs w:val="24"/>
              </w:rPr>
              <w:t>8.配置EOM模块：用来产生边带从而实现频率可调谐，调谐范围&gt;1GHz</w:t>
            </w:r>
          </w:p>
          <w:p w14:paraId="03AFDFCA">
            <w:pPr>
              <w:snapToGrid w:val="0"/>
              <w:spacing w:line="240" w:lineRule="atLeast"/>
              <w:jc w:val="left"/>
              <w:rPr>
                <w:rFonts w:hint="eastAsia" w:ascii="仿宋" w:hAnsi="仿宋" w:eastAsia="仿宋"/>
                <w:sz w:val="24"/>
                <w:szCs w:val="24"/>
              </w:rPr>
            </w:pPr>
            <w:r>
              <w:rPr>
                <w:rFonts w:hint="eastAsia" w:ascii="仿宋" w:hAnsi="仿宋" w:eastAsia="仿宋"/>
                <w:sz w:val="24"/>
                <w:szCs w:val="24"/>
              </w:rPr>
              <w:t>9.配置相位噪声抑制模块，通过AOM消除长光纤引入的噪声，模块自身附加稳定度&lt;1×10</w:t>
            </w:r>
            <w:r>
              <w:rPr>
                <w:rFonts w:hint="eastAsia" w:ascii="仿宋" w:hAnsi="仿宋" w:eastAsia="仿宋"/>
                <w:sz w:val="24"/>
                <w:szCs w:val="24"/>
                <w:vertAlign w:val="superscript"/>
              </w:rPr>
              <w:t>-16</w:t>
            </w:r>
            <w:r>
              <w:rPr>
                <w:rFonts w:hint="eastAsia" w:ascii="仿宋" w:hAnsi="仿宋" w:eastAsia="仿宋"/>
                <w:sz w:val="24"/>
                <w:szCs w:val="24"/>
              </w:rPr>
              <w:t>@1s；</w:t>
            </w:r>
          </w:p>
          <w:p w14:paraId="6976CFEC">
            <w:pPr>
              <w:snapToGrid w:val="0"/>
              <w:spacing w:line="240" w:lineRule="atLeast"/>
              <w:jc w:val="left"/>
              <w:rPr>
                <w:rFonts w:hint="eastAsia" w:ascii="仿宋" w:hAnsi="仿宋" w:eastAsia="仿宋"/>
                <w:sz w:val="24"/>
                <w:szCs w:val="24"/>
              </w:rPr>
            </w:pPr>
            <w:r>
              <w:rPr>
                <w:rFonts w:hint="eastAsia" w:ascii="仿宋" w:hAnsi="仿宋" w:eastAsia="仿宋"/>
                <w:sz w:val="24"/>
                <w:szCs w:val="24"/>
              </w:rPr>
              <w:t>10.工作温度：17℃-27 ℃</w:t>
            </w:r>
          </w:p>
        </w:tc>
        <w:tc>
          <w:tcPr>
            <w:tcW w:w="658" w:type="dxa"/>
            <w:vAlign w:val="center"/>
          </w:tcPr>
          <w:p w14:paraId="0E137E82">
            <w:pPr>
              <w:snapToGrid w:val="0"/>
              <w:spacing w:line="240" w:lineRule="atLeast"/>
              <w:jc w:val="center"/>
              <w:rPr>
                <w:rFonts w:hint="eastAsia" w:ascii="仿宋" w:hAnsi="仿宋" w:eastAsia="仿宋"/>
                <w:sz w:val="24"/>
                <w:szCs w:val="24"/>
              </w:rPr>
            </w:pPr>
            <w:r>
              <w:rPr>
                <w:rFonts w:hint="eastAsia" w:ascii="仿宋" w:hAnsi="仿宋" w:eastAsia="仿宋"/>
                <w:sz w:val="24"/>
                <w:szCs w:val="24"/>
                <w:lang w:val="en-US" w:eastAsia="zh-CN"/>
              </w:rPr>
              <w:t>进口</w:t>
            </w:r>
          </w:p>
        </w:tc>
      </w:tr>
    </w:tbl>
    <w:p w14:paraId="0BD07C36">
      <w:pPr>
        <w:bidi w:val="0"/>
        <w:rPr>
          <w:rFonts w:hint="eastAsia"/>
          <w:color w:val="auto"/>
          <w:highlight w:val="none"/>
        </w:rPr>
      </w:pPr>
    </w:p>
    <w:p w14:paraId="57C8F913">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89F4336">
      <w:pPr>
        <w:spacing w:line="360" w:lineRule="auto"/>
        <w:jc w:val="center"/>
        <w:rPr>
          <w:rFonts w:hint="default" w:ascii="Times New Roman" w:hAnsi="Times New Roman" w:eastAsia="宋体" w:cs="Times New Roman"/>
          <w:color w:val="auto"/>
          <w:sz w:val="24"/>
          <w:highlight w:val="none"/>
        </w:rPr>
      </w:pPr>
      <w:r>
        <w:rPr>
          <w:rFonts w:hint="eastAsia" w:ascii="宋体" w:hAnsi="宋体" w:eastAsia="宋体" w:cs="宋体"/>
          <w:b/>
          <w:color w:val="auto"/>
          <w:kern w:val="0"/>
          <w:sz w:val="32"/>
          <w:szCs w:val="32"/>
          <w:highlight w:val="none"/>
        </w:rPr>
        <w:t>第六部分  拟签订的合同文本</w:t>
      </w:r>
      <w:bookmarkEnd w:id="43"/>
      <w:bookmarkStart w:id="47" w:name="_Toc180347474"/>
    </w:p>
    <w:p w14:paraId="03E94DF6">
      <w:pPr>
        <w:widowControl/>
        <w:wordWrap w:val="0"/>
        <w:snapToGrid w:val="0"/>
        <w:jc w:val="center"/>
        <w:rPr>
          <w:rFonts w:ascii="宋体" w:hAnsi="宋体" w:cs="宋体"/>
          <w:b/>
          <w:bCs/>
          <w:spacing w:val="20"/>
          <w:sz w:val="36"/>
          <w:szCs w:val="36"/>
        </w:rPr>
      </w:pPr>
      <w:r>
        <w:rPr>
          <w:rFonts w:hint="eastAsia" w:ascii="宋体" w:hAnsi="宋体" w:cs="宋体"/>
          <w:b/>
          <w:bCs/>
          <w:spacing w:val="20"/>
          <w:sz w:val="36"/>
          <w:szCs w:val="36"/>
        </w:rPr>
        <w:t>政府采购合同</w:t>
      </w:r>
    </w:p>
    <w:p w14:paraId="48D2AD5F">
      <w:pPr>
        <w:widowControl/>
        <w:wordWrap w:val="0"/>
        <w:snapToGrid w:val="0"/>
        <w:jc w:val="center"/>
        <w:rPr>
          <w:rFonts w:ascii="宋体" w:hAnsi="宋体" w:cs="宋体"/>
        </w:rPr>
      </w:pPr>
    </w:p>
    <w:p w14:paraId="2DE8922A">
      <w:pPr>
        <w:spacing w:line="480" w:lineRule="exact"/>
        <w:ind w:firstLine="480" w:firstLineChars="200"/>
        <w:jc w:val="left"/>
        <w:rPr>
          <w:rFonts w:ascii="宋体" w:hAnsi="宋体"/>
          <w:b/>
          <w:sz w:val="24"/>
        </w:rPr>
      </w:pPr>
      <w:r>
        <w:rPr>
          <w:rFonts w:hint="eastAsia" w:ascii="宋体" w:hAnsi="宋体"/>
          <w:sz w:val="24"/>
        </w:rPr>
        <w:t xml:space="preserve">                                    </w:t>
      </w:r>
      <w:r>
        <w:rPr>
          <w:rFonts w:hint="eastAsia" w:ascii="宋体" w:hAnsi="宋体"/>
          <w:b/>
          <w:sz w:val="24"/>
        </w:rPr>
        <w:t>采购计划文号：</w:t>
      </w:r>
    </w:p>
    <w:p w14:paraId="63A6486C">
      <w:pPr>
        <w:spacing w:line="360" w:lineRule="auto"/>
        <w:ind w:firstLine="472" w:firstLineChars="196"/>
        <w:jc w:val="left"/>
        <w:rPr>
          <w:rFonts w:ascii="宋体" w:hAnsi="宋体"/>
          <w:b/>
          <w:sz w:val="24"/>
          <w:u w:val="single"/>
        </w:rPr>
      </w:pPr>
      <w:r>
        <w:rPr>
          <w:rFonts w:hint="eastAsia" w:ascii="宋体" w:hAnsi="宋体"/>
          <w:b/>
          <w:sz w:val="24"/>
        </w:rPr>
        <w:t>需方：</w:t>
      </w:r>
      <w:r>
        <w:rPr>
          <w:rFonts w:hint="eastAsia" w:ascii="宋体" w:hAnsi="宋体"/>
          <w:b/>
          <w:sz w:val="24"/>
          <w:u w:val="single"/>
        </w:rPr>
        <w:t xml:space="preserve"> 山西大学                    </w:t>
      </w:r>
    </w:p>
    <w:p w14:paraId="47647883">
      <w:pPr>
        <w:spacing w:line="360" w:lineRule="auto"/>
        <w:ind w:firstLine="472" w:firstLineChars="196"/>
        <w:jc w:val="left"/>
        <w:rPr>
          <w:rFonts w:ascii="宋体" w:hAnsi="宋体"/>
          <w:b/>
          <w:sz w:val="24"/>
          <w:u w:val="single"/>
        </w:rPr>
      </w:pPr>
      <w:r>
        <w:rPr>
          <w:rFonts w:hint="eastAsia" w:ascii="宋体" w:hAnsi="宋体"/>
          <w:b/>
          <w:sz w:val="24"/>
        </w:rPr>
        <w:t>供方：</w:t>
      </w:r>
      <w:r>
        <w:rPr>
          <w:rFonts w:hint="eastAsia" w:ascii="宋体" w:hAnsi="宋体"/>
          <w:b/>
          <w:sz w:val="24"/>
          <w:u w:val="single"/>
        </w:rPr>
        <w:t xml:space="preserve">                             </w:t>
      </w:r>
    </w:p>
    <w:p w14:paraId="02FB28C4">
      <w:pPr>
        <w:spacing w:line="360" w:lineRule="auto"/>
        <w:ind w:firstLine="480" w:firstLineChars="200"/>
        <w:rPr>
          <w:rFonts w:ascii="宋体" w:hAnsi="宋体"/>
          <w:sz w:val="24"/>
        </w:rPr>
      </w:pPr>
      <w:r>
        <w:rPr>
          <w:rFonts w:hint="eastAsia" w:ascii="宋体" w:hAnsi="宋体"/>
          <w:sz w:val="24"/>
        </w:rPr>
        <w:t>供方在</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(采购代理机构)  </w:t>
      </w:r>
      <w:r>
        <w:rPr>
          <w:rFonts w:hint="eastAsia" w:ascii="宋体" w:hAnsi="宋体"/>
          <w:sz w:val="24"/>
        </w:rPr>
        <w:t>组织的项目编号为</w:t>
      </w:r>
      <w:r>
        <w:rPr>
          <w:rFonts w:ascii="宋体" w:hAnsi="宋体"/>
          <w:sz w:val="24"/>
          <w:u w:val="single"/>
        </w:rPr>
        <w:t xml:space="preserve">             </w:t>
      </w:r>
      <w:r>
        <w:rPr>
          <w:rFonts w:hint="eastAsia" w:ascii="宋体" w:hAnsi="宋体"/>
          <w:sz w:val="24"/>
          <w:u w:val="single"/>
        </w:rPr>
        <w:t xml:space="preserve">(第X包) </w:t>
      </w:r>
      <w:r>
        <w:rPr>
          <w:rFonts w:hint="eastAsia" w:ascii="宋体" w:hAnsi="宋体"/>
          <w:sz w:val="24"/>
        </w:rPr>
        <w:t>的</w:t>
      </w:r>
      <w:r>
        <w:rPr>
          <w:rFonts w:ascii="宋体" w:hAnsi="宋体"/>
          <w:sz w:val="24"/>
          <w:u w:val="single"/>
        </w:rPr>
        <w:t xml:space="preserve">              </w:t>
      </w:r>
      <w:r>
        <w:rPr>
          <w:rFonts w:hint="eastAsia" w:ascii="宋体" w:hAnsi="宋体"/>
          <w:sz w:val="24"/>
        </w:rPr>
        <w:t>项目</w:t>
      </w:r>
      <w:r>
        <w:rPr>
          <w:rFonts w:hint="eastAsia"/>
          <w:sz w:val="24"/>
        </w:rPr>
        <w:t>采购活动中中标（成交）</w:t>
      </w:r>
      <w:r>
        <w:rPr>
          <w:rFonts w:hint="eastAsia" w:ascii="宋体" w:hAnsi="宋体"/>
          <w:sz w:val="24"/>
        </w:rPr>
        <w:t>。</w:t>
      </w:r>
      <w:r>
        <w:rPr>
          <w:rFonts w:hint="eastAsia" w:ascii="宋体" w:hAnsi="宋体" w:cs="宋体"/>
          <w:sz w:val="24"/>
        </w:rPr>
        <w:t>为了保护供、需双方的合法权益，根据《中华人民共和国政府采购法》及《中华人民共和国民法典》等相关法律、法规的规定，经双方协商一致，签订本合同。</w:t>
      </w:r>
    </w:p>
    <w:p w14:paraId="317261D9">
      <w:pPr>
        <w:pStyle w:val="9"/>
        <w:spacing w:line="360" w:lineRule="auto"/>
        <w:ind w:left="0" w:leftChars="0" w:firstLine="472" w:firstLineChars="196"/>
        <w:jc w:val="left"/>
        <w:rPr>
          <w:rFonts w:ascii="宋体" w:hAnsi="宋体"/>
          <w:dstrike/>
          <w:sz w:val="24"/>
          <w:u w:val="single"/>
        </w:rPr>
      </w:pPr>
      <w:r>
        <w:rPr>
          <w:rFonts w:hint="eastAsia" w:ascii="宋体" w:hAnsi="宋体"/>
          <w:b/>
          <w:sz w:val="24"/>
        </w:rPr>
        <w:t>最终用户：</w:t>
      </w:r>
      <w:r>
        <w:rPr>
          <w:rFonts w:hint="eastAsia" w:ascii="宋体" w:hAnsi="宋体"/>
          <w:b/>
          <w:sz w:val="24"/>
          <w:u w:val="single"/>
        </w:rPr>
        <w:t xml:space="preserve">  </w:t>
      </w:r>
      <w:r>
        <w:rPr>
          <w:rFonts w:ascii="宋体" w:hAnsi="宋体"/>
          <w:b/>
          <w:sz w:val="24"/>
          <w:u w:val="single"/>
        </w:rPr>
        <w:t xml:space="preserve">    </w:t>
      </w:r>
      <w:r>
        <w:rPr>
          <w:rFonts w:hint="eastAsia" w:ascii="宋体" w:hAnsi="宋体"/>
          <w:sz w:val="24"/>
          <w:u w:val="single"/>
        </w:rPr>
        <w:t>各采购</w:t>
      </w:r>
      <w:r>
        <w:rPr>
          <w:rFonts w:ascii="宋体" w:hAnsi="宋体"/>
          <w:sz w:val="24"/>
          <w:u w:val="single"/>
        </w:rPr>
        <w:t>单位</w:t>
      </w:r>
      <w:r>
        <w:rPr>
          <w:rFonts w:hint="eastAsia" w:ascii="宋体" w:hAnsi="宋体"/>
          <w:sz w:val="24"/>
          <w:u w:val="single"/>
        </w:rPr>
        <w:t xml:space="preserve">     </w:t>
      </w:r>
      <w:r>
        <w:rPr>
          <w:rFonts w:hint="eastAsia" w:ascii="宋体" w:hAnsi="宋体"/>
          <w:b/>
          <w:sz w:val="24"/>
          <w:u w:val="single"/>
        </w:rPr>
        <w:t xml:space="preserve">  </w:t>
      </w:r>
    </w:p>
    <w:p w14:paraId="204DA458">
      <w:pPr>
        <w:spacing w:line="360" w:lineRule="auto"/>
        <w:ind w:firstLine="472" w:firstLineChars="196"/>
        <w:jc w:val="left"/>
        <w:rPr>
          <w:rFonts w:ascii="宋体" w:hAnsi="宋体"/>
          <w:b/>
          <w:sz w:val="24"/>
        </w:rPr>
      </w:pPr>
      <w:bookmarkStart w:id="48" w:name="_Toc326248000"/>
      <w:r>
        <w:rPr>
          <w:rFonts w:hint="eastAsia" w:ascii="宋体" w:hAnsi="宋体"/>
          <w:b/>
          <w:sz w:val="24"/>
        </w:rPr>
        <w:t>一、采购货物条款</w:t>
      </w:r>
      <w:bookmarkEnd w:id="48"/>
    </w:p>
    <w:p w14:paraId="75C4B984">
      <w:pPr>
        <w:spacing w:line="360" w:lineRule="auto"/>
        <w:ind w:firstLine="480" w:firstLineChars="200"/>
        <w:jc w:val="left"/>
        <w:rPr>
          <w:rFonts w:ascii="宋体" w:hAnsi="宋体"/>
          <w:sz w:val="24"/>
        </w:rPr>
      </w:pPr>
      <w:r>
        <w:rPr>
          <w:rFonts w:hint="eastAsia" w:ascii="宋体" w:hAnsi="宋体"/>
          <w:sz w:val="24"/>
        </w:rPr>
        <w:t>供方向需方提供货物（以下</w:t>
      </w:r>
      <w:r>
        <w:rPr>
          <w:rFonts w:ascii="宋体" w:hAnsi="宋体"/>
          <w:sz w:val="24"/>
        </w:rPr>
        <w:t>简称“</w:t>
      </w:r>
      <w:r>
        <w:rPr>
          <w:rFonts w:hint="eastAsia" w:ascii="宋体" w:hAnsi="宋体"/>
          <w:sz w:val="24"/>
        </w:rPr>
        <w:t>货物</w:t>
      </w:r>
      <w:r>
        <w:rPr>
          <w:rFonts w:ascii="宋体" w:hAnsi="宋体"/>
          <w:sz w:val="24"/>
        </w:rPr>
        <w:t>”</w:t>
      </w:r>
      <w:r>
        <w:rPr>
          <w:rFonts w:hint="eastAsia" w:ascii="宋体" w:hAnsi="宋体"/>
          <w:sz w:val="24"/>
        </w:rPr>
        <w:t>），货物</w:t>
      </w:r>
      <w:r>
        <w:rPr>
          <w:rFonts w:ascii="宋体" w:hAnsi="宋体"/>
          <w:sz w:val="24"/>
        </w:rPr>
        <w:t>的</w:t>
      </w:r>
      <w:r>
        <w:rPr>
          <w:rFonts w:hint="eastAsia" w:ascii="宋体" w:hAnsi="宋体"/>
          <w:sz w:val="24"/>
        </w:rPr>
        <w:t>具体名称</w:t>
      </w:r>
      <w:r>
        <w:rPr>
          <w:rFonts w:ascii="宋体" w:hAnsi="宋体"/>
          <w:sz w:val="24"/>
        </w:rPr>
        <w:t>、</w:t>
      </w:r>
      <w:r>
        <w:rPr>
          <w:rFonts w:hint="eastAsia" w:ascii="宋体" w:hAnsi="宋体"/>
          <w:sz w:val="24"/>
        </w:rPr>
        <w:t>品牌、规格型号、数量、价格</w:t>
      </w:r>
      <w:r>
        <w:rPr>
          <w:rFonts w:ascii="宋体" w:hAnsi="宋体"/>
          <w:sz w:val="24"/>
        </w:rPr>
        <w:t>、产地及厂家</w:t>
      </w:r>
      <w:r>
        <w:rPr>
          <w:rFonts w:hint="eastAsia" w:ascii="宋体" w:hAnsi="宋体"/>
          <w:sz w:val="24"/>
        </w:rPr>
        <w:t>等见附件一《采购</w:t>
      </w:r>
      <w:r>
        <w:rPr>
          <w:rFonts w:ascii="宋体" w:hAnsi="宋体"/>
          <w:sz w:val="24"/>
        </w:rPr>
        <w:t>货物清单</w:t>
      </w:r>
      <w:r>
        <w:rPr>
          <w:rFonts w:hint="eastAsia" w:ascii="宋体" w:hAnsi="宋体"/>
          <w:sz w:val="24"/>
        </w:rPr>
        <w:t>》，技术参数</w:t>
      </w:r>
      <w:r>
        <w:rPr>
          <w:rFonts w:ascii="宋体" w:hAnsi="宋体"/>
          <w:sz w:val="24"/>
        </w:rPr>
        <w:t>、</w:t>
      </w:r>
      <w:r>
        <w:rPr>
          <w:rFonts w:hint="eastAsia" w:ascii="宋体" w:hAnsi="宋体"/>
          <w:sz w:val="24"/>
        </w:rPr>
        <w:t>质保期、</w:t>
      </w:r>
      <w:r>
        <w:rPr>
          <w:rFonts w:ascii="宋体" w:hAnsi="宋体"/>
          <w:sz w:val="24"/>
        </w:rPr>
        <w:t>交货时间</w:t>
      </w:r>
      <w:r>
        <w:rPr>
          <w:rFonts w:hint="eastAsia" w:ascii="宋体" w:hAnsi="宋体"/>
          <w:sz w:val="24"/>
        </w:rPr>
        <w:t>等见附件二。</w:t>
      </w:r>
    </w:p>
    <w:p w14:paraId="24611AE0">
      <w:pPr>
        <w:spacing w:line="360" w:lineRule="auto"/>
        <w:ind w:firstLine="472" w:firstLineChars="196"/>
        <w:jc w:val="left"/>
        <w:rPr>
          <w:rFonts w:ascii="宋体" w:hAnsi="宋体"/>
          <w:b/>
          <w:sz w:val="24"/>
        </w:rPr>
      </w:pPr>
      <w:bookmarkStart w:id="49" w:name="_Toc326248001"/>
      <w:r>
        <w:rPr>
          <w:rFonts w:hint="eastAsia" w:ascii="宋体" w:hAnsi="宋体"/>
          <w:b/>
          <w:sz w:val="24"/>
        </w:rPr>
        <w:t>二、合同总金额</w:t>
      </w:r>
      <w:bookmarkEnd w:id="49"/>
    </w:p>
    <w:p w14:paraId="1F09F92F">
      <w:pPr>
        <w:spacing w:line="360" w:lineRule="auto"/>
        <w:ind w:firstLine="480" w:firstLineChars="200"/>
        <w:jc w:val="left"/>
        <w:rPr>
          <w:rFonts w:ascii="宋体" w:hAnsi="宋体"/>
          <w:sz w:val="24"/>
          <w:u w:val="single"/>
        </w:rPr>
      </w:pPr>
      <w:r>
        <w:rPr>
          <w:rFonts w:hint="eastAsia" w:ascii="宋体" w:hAnsi="宋体"/>
          <w:bCs/>
          <w:sz w:val="24"/>
        </w:rPr>
        <w:t>人民币</w:t>
      </w:r>
      <w:r>
        <w:rPr>
          <w:rFonts w:hint="eastAsia" w:ascii="宋体" w:hAnsi="宋体"/>
          <w:sz w:val="24"/>
        </w:rPr>
        <w:t>（大写）：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（含税价）</w:t>
      </w:r>
    </w:p>
    <w:p w14:paraId="74DE0461">
      <w:pPr>
        <w:spacing w:line="360" w:lineRule="auto"/>
        <w:ind w:firstLine="1200" w:firstLineChars="500"/>
        <w:jc w:val="left"/>
        <w:rPr>
          <w:rFonts w:ascii="宋体" w:hAnsi="宋体"/>
          <w:sz w:val="24"/>
          <w:u w:val="single"/>
        </w:rPr>
      </w:pPr>
      <w:r>
        <w:rPr>
          <w:rFonts w:hint="eastAsia" w:ascii="宋体" w:hAnsi="宋体"/>
          <w:sz w:val="24"/>
        </w:rPr>
        <w:t>（小写）：</w:t>
      </w:r>
      <w:r>
        <w:rPr>
          <w:rFonts w:hint="eastAsia" w:ascii="宋体" w:hAnsi="宋体"/>
          <w:sz w:val="24"/>
          <w:u w:val="single"/>
        </w:rPr>
        <w:t xml:space="preserve">￥ </w:t>
      </w:r>
      <w:r>
        <w:rPr>
          <w:rFonts w:ascii="宋体" w:hAnsi="宋体"/>
          <w:sz w:val="24"/>
          <w:u w:val="single"/>
        </w:rPr>
        <w:t xml:space="preserve">                               </w:t>
      </w:r>
    </w:p>
    <w:p w14:paraId="164B729B">
      <w:pPr>
        <w:spacing w:line="360" w:lineRule="auto"/>
        <w:ind w:firstLine="480" w:firstLineChars="200"/>
        <w:jc w:val="left"/>
        <w:rPr>
          <w:rFonts w:ascii="宋体" w:hAnsi="宋体"/>
          <w:sz w:val="24"/>
        </w:rPr>
      </w:pPr>
      <w:r>
        <w:rPr>
          <w:rFonts w:hint="eastAsia" w:ascii="宋体" w:hAnsi="宋体"/>
          <w:sz w:val="24"/>
        </w:rPr>
        <w:t>此价格为合同执行不变价，不因国家政策变化或其他原因而做价格调整。合同总金额包括货物价款、运输、安装、调试、售后等总体全部费用。</w:t>
      </w:r>
    </w:p>
    <w:p w14:paraId="2AA76A08">
      <w:pPr>
        <w:spacing w:line="360" w:lineRule="auto"/>
        <w:ind w:firstLine="472" w:firstLineChars="196"/>
        <w:jc w:val="left"/>
        <w:rPr>
          <w:rFonts w:ascii="宋体" w:hAnsi="宋体"/>
          <w:b/>
          <w:sz w:val="24"/>
        </w:rPr>
      </w:pPr>
      <w:bookmarkStart w:id="50" w:name="_Toc326248002"/>
      <w:r>
        <w:rPr>
          <w:rFonts w:hint="eastAsia" w:ascii="宋体" w:hAnsi="宋体"/>
          <w:b/>
          <w:sz w:val="24"/>
        </w:rPr>
        <w:t>三、货款支付</w:t>
      </w:r>
      <w:bookmarkEnd w:id="50"/>
    </w:p>
    <w:p w14:paraId="6B499884">
      <w:pPr>
        <w:spacing w:line="360" w:lineRule="auto"/>
        <w:ind w:firstLine="480" w:firstLineChars="200"/>
        <w:jc w:val="left"/>
        <w:rPr>
          <w:rFonts w:hint="eastAsia" w:ascii="宋体" w:hAnsi="宋体"/>
          <w:bCs/>
          <w:sz w:val="24"/>
        </w:rPr>
      </w:pPr>
      <w:r>
        <w:rPr>
          <w:rFonts w:hint="eastAsia" w:ascii="宋体" w:hAnsi="宋体"/>
          <w:bCs/>
          <w:sz w:val="24"/>
        </w:rPr>
        <w:t>1、供方向需方按照以下第</w:t>
      </w:r>
      <w:r>
        <w:rPr>
          <w:rFonts w:hint="eastAsia" w:ascii="宋体" w:hAnsi="宋体"/>
          <w:bCs/>
          <w:sz w:val="24"/>
          <w:u w:val="single"/>
        </w:rPr>
        <w:t xml:space="preserve">       </w:t>
      </w:r>
      <w:r>
        <w:rPr>
          <w:rFonts w:hint="eastAsia" w:ascii="宋体" w:hAnsi="宋体"/>
          <w:bCs/>
          <w:sz w:val="24"/>
        </w:rPr>
        <w:t>方式支付履约保证金。</w:t>
      </w:r>
    </w:p>
    <w:p w14:paraId="5BDD6EC8">
      <w:pPr>
        <w:spacing w:line="360" w:lineRule="auto"/>
        <w:ind w:firstLine="480" w:firstLineChars="200"/>
        <w:jc w:val="left"/>
        <w:rPr>
          <w:rFonts w:hint="eastAsia" w:ascii="宋体" w:hAnsi="宋体"/>
          <w:bCs/>
          <w:sz w:val="24"/>
        </w:rPr>
      </w:pPr>
      <w:r>
        <w:rPr>
          <w:rFonts w:hint="eastAsia" w:ascii="宋体" w:hAnsi="宋体" w:cs="宋体"/>
          <w:bCs/>
          <w:sz w:val="24"/>
        </w:rPr>
        <w:t>①采购国产货物的</w:t>
      </w:r>
      <w:r>
        <w:rPr>
          <w:rFonts w:hint="eastAsia" w:ascii="宋体" w:hAnsi="宋体"/>
          <w:bCs/>
          <w:sz w:val="24"/>
        </w:rPr>
        <w:t>签订合同前供方应向需方交付</w:t>
      </w:r>
      <w:r>
        <w:rPr>
          <w:rFonts w:hint="eastAsia" w:ascii="宋体" w:hAnsi="宋体" w:cs="宋体"/>
          <w:bCs/>
          <w:sz w:val="24"/>
        </w:rPr>
        <w:t>国产货物对应</w:t>
      </w:r>
      <w:r>
        <w:rPr>
          <w:rFonts w:hint="eastAsia" w:ascii="宋体" w:hAnsi="宋体"/>
          <w:bCs/>
          <w:sz w:val="24"/>
        </w:rPr>
        <w:t>货款的</w:t>
      </w:r>
      <w:r>
        <w:rPr>
          <w:rFonts w:hint="eastAsia" w:ascii="宋体" w:hAnsi="宋体"/>
          <w:bCs/>
          <w:sz w:val="24"/>
          <w:u w:val="single"/>
        </w:rPr>
        <w:t xml:space="preserve">   </w:t>
      </w:r>
      <w:r>
        <w:rPr>
          <w:rFonts w:hint="eastAsia" w:ascii="宋体" w:hAnsi="宋体"/>
          <w:bCs/>
          <w:sz w:val="24"/>
        </w:rPr>
        <w:t>%（人民币</w:t>
      </w:r>
      <w:r>
        <w:rPr>
          <w:rFonts w:hint="eastAsia" w:ascii="宋体" w:hAnsi="宋体"/>
          <w:bCs/>
          <w:sz w:val="24"/>
          <w:u w:val="single"/>
        </w:rPr>
        <w:t xml:space="preserve">    </w:t>
      </w:r>
      <w:r>
        <w:rPr>
          <w:rFonts w:hint="eastAsia" w:ascii="宋体" w:hAnsi="宋体"/>
          <w:bCs/>
          <w:sz w:val="24"/>
        </w:rPr>
        <w:t>元）作为合同履约保证金，质量验收合格一年后无质量问题无息退还。</w:t>
      </w:r>
    </w:p>
    <w:p w14:paraId="0AA7E317">
      <w:pPr>
        <w:spacing w:line="360" w:lineRule="auto"/>
        <w:ind w:firstLine="480" w:firstLineChars="200"/>
        <w:jc w:val="left"/>
        <w:rPr>
          <w:rFonts w:hint="eastAsia" w:ascii="宋体" w:hAnsi="宋体"/>
          <w:bCs/>
          <w:sz w:val="24"/>
        </w:rPr>
      </w:pPr>
      <w:r>
        <w:rPr>
          <w:rFonts w:hint="eastAsia" w:ascii="宋体" w:hAnsi="宋体" w:cs="宋体"/>
          <w:bCs/>
          <w:sz w:val="24"/>
        </w:rPr>
        <w:t>②采购进口货物的</w:t>
      </w:r>
      <w:r>
        <w:rPr>
          <w:rFonts w:hint="eastAsia" w:ascii="宋体" w:hAnsi="宋体"/>
          <w:bCs/>
          <w:sz w:val="24"/>
        </w:rPr>
        <w:t>签订合同前供方应向需方交付</w:t>
      </w:r>
      <w:r>
        <w:rPr>
          <w:rFonts w:hint="eastAsia" w:ascii="宋体" w:hAnsi="宋体" w:cs="宋体"/>
          <w:bCs/>
          <w:sz w:val="24"/>
        </w:rPr>
        <w:t>进口货物对应</w:t>
      </w:r>
      <w:r>
        <w:rPr>
          <w:rFonts w:hint="eastAsia" w:ascii="宋体" w:hAnsi="宋体"/>
          <w:bCs/>
          <w:sz w:val="24"/>
        </w:rPr>
        <w:t>货款的</w:t>
      </w:r>
      <w:r>
        <w:rPr>
          <w:rFonts w:hint="eastAsia" w:ascii="宋体" w:hAnsi="宋体"/>
          <w:bCs/>
          <w:sz w:val="24"/>
          <w:u w:val="single"/>
        </w:rPr>
        <w:t xml:space="preserve">   </w:t>
      </w:r>
      <w:r>
        <w:rPr>
          <w:rFonts w:hint="eastAsia" w:ascii="宋体" w:hAnsi="宋体"/>
          <w:bCs/>
          <w:sz w:val="24"/>
        </w:rPr>
        <w:t>%作为合同履约保证金（人民币</w:t>
      </w:r>
      <w:r>
        <w:rPr>
          <w:rFonts w:hint="eastAsia" w:ascii="宋体" w:hAnsi="宋体"/>
          <w:bCs/>
          <w:sz w:val="24"/>
          <w:u w:val="single"/>
        </w:rPr>
        <w:t xml:space="preserve">    </w:t>
      </w:r>
      <w:r>
        <w:rPr>
          <w:rFonts w:hint="eastAsia" w:ascii="宋体" w:hAnsi="宋体"/>
          <w:bCs/>
          <w:sz w:val="24"/>
        </w:rPr>
        <w:t>元），质量验收合格一年后无质量问题无息退还。</w:t>
      </w:r>
    </w:p>
    <w:p w14:paraId="144715CB">
      <w:pPr>
        <w:spacing w:line="360" w:lineRule="auto"/>
        <w:ind w:firstLine="480" w:firstLineChars="200"/>
        <w:jc w:val="left"/>
        <w:rPr>
          <w:rFonts w:ascii="宋体" w:hAnsi="宋体"/>
          <w:bCs/>
          <w:sz w:val="24"/>
        </w:rPr>
      </w:pPr>
      <w:r>
        <w:rPr>
          <w:rFonts w:hint="eastAsia" w:ascii="宋体" w:hAnsi="宋体"/>
          <w:bCs/>
          <w:sz w:val="24"/>
        </w:rPr>
        <w:t>2、需方向供方按照以下第</w:t>
      </w:r>
      <w:r>
        <w:rPr>
          <w:rFonts w:hint="eastAsia" w:ascii="宋体" w:hAnsi="宋体"/>
          <w:bCs/>
          <w:sz w:val="24"/>
          <w:u w:val="single"/>
        </w:rPr>
        <w:t xml:space="preserve">       </w:t>
      </w:r>
      <w:r>
        <w:rPr>
          <w:rFonts w:hint="eastAsia" w:ascii="宋体" w:hAnsi="宋体"/>
          <w:bCs/>
          <w:sz w:val="24"/>
        </w:rPr>
        <w:t>方式进行付款。</w:t>
      </w:r>
    </w:p>
    <w:p w14:paraId="5359F0B8">
      <w:pPr>
        <w:spacing w:line="360" w:lineRule="auto"/>
        <w:ind w:firstLine="480" w:firstLineChars="200"/>
        <w:jc w:val="left"/>
        <w:rPr>
          <w:rFonts w:hint="eastAsia" w:ascii="宋体" w:hAnsi="宋体" w:cs="宋体"/>
          <w:bCs/>
          <w:sz w:val="24"/>
        </w:rPr>
      </w:pPr>
      <w:r>
        <w:rPr>
          <w:rFonts w:hint="eastAsia" w:ascii="宋体" w:hAnsi="宋体" w:cs="宋体"/>
          <w:bCs/>
          <w:sz w:val="24"/>
        </w:rPr>
        <w:t>①采购国产货物的经需方质量验收合格后30日内支付国产货物对应</w:t>
      </w:r>
      <w:r>
        <w:rPr>
          <w:rFonts w:hint="eastAsia" w:ascii="宋体" w:hAnsi="宋体"/>
          <w:bCs/>
          <w:sz w:val="24"/>
        </w:rPr>
        <w:t>货款（人民币</w:t>
      </w:r>
      <w:r>
        <w:rPr>
          <w:rFonts w:hint="eastAsia" w:ascii="宋体" w:hAnsi="宋体"/>
          <w:bCs/>
          <w:sz w:val="24"/>
          <w:u w:val="single"/>
        </w:rPr>
        <w:t xml:space="preserve">    </w:t>
      </w:r>
      <w:r>
        <w:rPr>
          <w:rFonts w:hint="eastAsia" w:ascii="宋体" w:hAnsi="宋体"/>
          <w:bCs/>
          <w:sz w:val="24"/>
        </w:rPr>
        <w:t>元）</w:t>
      </w:r>
      <w:r>
        <w:rPr>
          <w:rFonts w:hint="eastAsia" w:ascii="宋体" w:hAnsi="宋体" w:cs="宋体"/>
          <w:bCs/>
          <w:sz w:val="24"/>
        </w:rPr>
        <w:t>。</w:t>
      </w:r>
    </w:p>
    <w:p w14:paraId="409748BB">
      <w:pPr>
        <w:spacing w:line="360" w:lineRule="auto"/>
        <w:ind w:firstLine="480" w:firstLineChars="200"/>
        <w:jc w:val="left"/>
        <w:rPr>
          <w:rFonts w:hint="eastAsia" w:ascii="宋体" w:hAnsi="宋体" w:cs="宋体"/>
          <w:bCs/>
          <w:sz w:val="24"/>
        </w:rPr>
      </w:pPr>
      <w:r>
        <w:rPr>
          <w:rFonts w:hint="eastAsia" w:ascii="宋体" w:hAnsi="宋体" w:cs="宋体"/>
          <w:bCs/>
          <w:sz w:val="24"/>
        </w:rPr>
        <w:t>②采购国产定制货物且需要预付货款的签订本合同后30日内，需方向供方预付国产定制货物对应</w:t>
      </w:r>
      <w:r>
        <w:rPr>
          <w:rFonts w:hint="eastAsia" w:ascii="宋体" w:hAnsi="宋体"/>
          <w:bCs/>
          <w:sz w:val="24"/>
        </w:rPr>
        <w:t>货款</w:t>
      </w:r>
      <w:r>
        <w:rPr>
          <w:rFonts w:hint="eastAsia" w:ascii="宋体" w:hAnsi="宋体" w:cs="宋体"/>
          <w:bCs/>
          <w:sz w:val="24"/>
        </w:rPr>
        <w:t>的</w:t>
      </w:r>
      <w:r>
        <w:rPr>
          <w:rFonts w:hint="eastAsia" w:ascii="宋体" w:hAnsi="宋体"/>
          <w:bCs/>
          <w:sz w:val="24"/>
          <w:u w:val="single"/>
        </w:rPr>
        <w:t xml:space="preserve">   </w:t>
      </w:r>
      <w:r>
        <w:rPr>
          <w:rFonts w:hint="eastAsia" w:ascii="宋体" w:hAnsi="宋体" w:cs="宋体"/>
          <w:bCs/>
          <w:sz w:val="24"/>
        </w:rPr>
        <w:t xml:space="preserve"> %</w:t>
      </w:r>
      <w:r>
        <w:rPr>
          <w:rFonts w:hint="eastAsia" w:ascii="宋体" w:hAnsi="宋体"/>
          <w:bCs/>
          <w:sz w:val="24"/>
        </w:rPr>
        <w:t>（人民币</w:t>
      </w:r>
      <w:r>
        <w:rPr>
          <w:rFonts w:hint="eastAsia" w:ascii="宋体" w:hAnsi="宋体"/>
          <w:bCs/>
          <w:sz w:val="24"/>
          <w:u w:val="single"/>
        </w:rPr>
        <w:t xml:space="preserve">    </w:t>
      </w:r>
      <w:r>
        <w:rPr>
          <w:rFonts w:hint="eastAsia" w:ascii="宋体" w:hAnsi="宋体"/>
          <w:bCs/>
          <w:sz w:val="24"/>
        </w:rPr>
        <w:t>元）</w:t>
      </w:r>
      <w:r>
        <w:rPr>
          <w:rFonts w:hint="eastAsia" w:ascii="宋体" w:hAnsi="宋体" w:cs="宋体"/>
          <w:bCs/>
          <w:sz w:val="24"/>
        </w:rPr>
        <w:t>；需方收到本合同项下全部货物并经初步验收合格后30日内，需方向供方支付国产定制货物对应</w:t>
      </w:r>
      <w:r>
        <w:rPr>
          <w:rFonts w:hint="eastAsia" w:ascii="宋体" w:hAnsi="宋体"/>
          <w:bCs/>
          <w:sz w:val="24"/>
        </w:rPr>
        <w:t>货款</w:t>
      </w:r>
      <w:r>
        <w:rPr>
          <w:rFonts w:hint="eastAsia" w:ascii="宋体" w:hAnsi="宋体" w:cs="宋体"/>
          <w:bCs/>
          <w:sz w:val="24"/>
        </w:rPr>
        <w:t>的</w:t>
      </w:r>
      <w:r>
        <w:rPr>
          <w:rFonts w:hint="eastAsia" w:ascii="宋体" w:hAnsi="宋体"/>
          <w:bCs/>
          <w:sz w:val="24"/>
          <w:u w:val="single"/>
        </w:rPr>
        <w:t xml:space="preserve">   </w:t>
      </w:r>
      <w:r>
        <w:rPr>
          <w:rFonts w:hint="eastAsia" w:ascii="宋体" w:hAnsi="宋体" w:cs="宋体"/>
          <w:bCs/>
          <w:sz w:val="24"/>
        </w:rPr>
        <w:t>%</w:t>
      </w:r>
      <w:r>
        <w:rPr>
          <w:rFonts w:hint="eastAsia" w:ascii="宋体" w:hAnsi="宋体"/>
          <w:bCs/>
          <w:sz w:val="24"/>
        </w:rPr>
        <w:t>（人民币</w:t>
      </w:r>
      <w:r>
        <w:rPr>
          <w:rFonts w:hint="eastAsia" w:ascii="宋体" w:hAnsi="宋体"/>
          <w:bCs/>
          <w:sz w:val="24"/>
          <w:u w:val="single"/>
        </w:rPr>
        <w:t xml:space="preserve">    </w:t>
      </w:r>
      <w:r>
        <w:rPr>
          <w:rFonts w:hint="eastAsia" w:ascii="宋体" w:hAnsi="宋体"/>
          <w:bCs/>
          <w:sz w:val="24"/>
        </w:rPr>
        <w:t>元）</w:t>
      </w:r>
      <w:r>
        <w:rPr>
          <w:rFonts w:hint="eastAsia" w:ascii="宋体" w:hAnsi="宋体" w:cs="宋体"/>
          <w:bCs/>
          <w:sz w:val="24"/>
        </w:rPr>
        <w:t>；全部货物经需方质量验收合格后30日内支付国产定制货物对应</w:t>
      </w:r>
      <w:r>
        <w:rPr>
          <w:rFonts w:hint="eastAsia" w:ascii="宋体" w:hAnsi="宋体"/>
          <w:bCs/>
          <w:sz w:val="24"/>
        </w:rPr>
        <w:t>货款</w:t>
      </w:r>
      <w:r>
        <w:rPr>
          <w:rFonts w:hint="eastAsia" w:ascii="宋体" w:hAnsi="宋体" w:cs="宋体"/>
          <w:bCs/>
          <w:sz w:val="24"/>
        </w:rPr>
        <w:t>的</w:t>
      </w:r>
      <w:r>
        <w:rPr>
          <w:rFonts w:hint="eastAsia" w:ascii="宋体" w:hAnsi="宋体"/>
          <w:bCs/>
          <w:sz w:val="24"/>
          <w:u w:val="single"/>
        </w:rPr>
        <w:t xml:space="preserve">   </w:t>
      </w:r>
      <w:r>
        <w:rPr>
          <w:rFonts w:hint="eastAsia" w:ascii="宋体" w:hAnsi="宋体" w:cs="宋体"/>
          <w:bCs/>
          <w:sz w:val="24"/>
        </w:rPr>
        <w:t>%</w:t>
      </w:r>
      <w:r>
        <w:rPr>
          <w:rFonts w:hint="eastAsia" w:ascii="宋体" w:hAnsi="宋体"/>
          <w:bCs/>
          <w:sz w:val="24"/>
        </w:rPr>
        <w:t>（人民币</w:t>
      </w:r>
      <w:r>
        <w:rPr>
          <w:rFonts w:hint="eastAsia" w:ascii="宋体" w:hAnsi="宋体"/>
          <w:bCs/>
          <w:sz w:val="24"/>
          <w:u w:val="single"/>
        </w:rPr>
        <w:t xml:space="preserve">    </w:t>
      </w:r>
      <w:r>
        <w:rPr>
          <w:rFonts w:hint="eastAsia" w:ascii="宋体" w:hAnsi="宋体"/>
          <w:bCs/>
          <w:sz w:val="24"/>
        </w:rPr>
        <w:t>元）</w:t>
      </w:r>
      <w:r>
        <w:rPr>
          <w:rFonts w:hint="eastAsia" w:ascii="宋体" w:hAnsi="宋体" w:cs="宋体"/>
          <w:bCs/>
          <w:sz w:val="24"/>
        </w:rPr>
        <w:t>。</w:t>
      </w:r>
    </w:p>
    <w:p w14:paraId="10F1C987">
      <w:pPr>
        <w:spacing w:line="360" w:lineRule="auto"/>
        <w:ind w:firstLine="480" w:firstLineChars="200"/>
        <w:jc w:val="left"/>
        <w:rPr>
          <w:rFonts w:hint="eastAsia" w:ascii="宋体" w:hAnsi="宋体" w:cs="宋体"/>
          <w:bCs/>
          <w:sz w:val="24"/>
        </w:rPr>
      </w:pPr>
      <w:r>
        <w:rPr>
          <w:rFonts w:hint="eastAsia" w:ascii="宋体" w:hAnsi="宋体" w:cs="宋体"/>
          <w:bCs/>
          <w:sz w:val="24"/>
        </w:rPr>
        <w:t>③采购进口货物的签订合同后供方应向需方提供货物进口装运单据，由需方审核装运单据无误后30日内向供方支付进口货物对应货款的90%</w:t>
      </w:r>
      <w:r>
        <w:rPr>
          <w:rFonts w:hint="eastAsia" w:ascii="宋体" w:hAnsi="宋体"/>
          <w:bCs/>
          <w:sz w:val="24"/>
        </w:rPr>
        <w:t>（人民币</w:t>
      </w:r>
      <w:r>
        <w:rPr>
          <w:rFonts w:hint="eastAsia" w:ascii="宋体" w:hAnsi="宋体"/>
          <w:bCs/>
          <w:sz w:val="24"/>
          <w:u w:val="single"/>
        </w:rPr>
        <w:t xml:space="preserve">    </w:t>
      </w:r>
      <w:r>
        <w:rPr>
          <w:rFonts w:hint="eastAsia" w:ascii="宋体" w:hAnsi="宋体"/>
          <w:bCs/>
          <w:sz w:val="24"/>
        </w:rPr>
        <w:t>元）</w:t>
      </w:r>
      <w:r>
        <w:rPr>
          <w:rFonts w:hint="eastAsia" w:ascii="宋体" w:hAnsi="宋体" w:cs="宋体"/>
          <w:bCs/>
          <w:sz w:val="24"/>
        </w:rPr>
        <w:t>，需方签署质量验收报告之日起30日内支付进口货物对应货款的剩余10%</w:t>
      </w:r>
      <w:r>
        <w:rPr>
          <w:rFonts w:hint="eastAsia" w:ascii="宋体" w:hAnsi="宋体"/>
          <w:bCs/>
          <w:sz w:val="24"/>
        </w:rPr>
        <w:t>（人民币</w:t>
      </w:r>
      <w:r>
        <w:rPr>
          <w:rFonts w:hint="eastAsia" w:ascii="宋体" w:hAnsi="宋体"/>
          <w:bCs/>
          <w:sz w:val="24"/>
          <w:u w:val="single"/>
        </w:rPr>
        <w:t xml:space="preserve">    </w:t>
      </w:r>
      <w:r>
        <w:rPr>
          <w:rFonts w:hint="eastAsia" w:ascii="宋体" w:hAnsi="宋体"/>
          <w:bCs/>
          <w:sz w:val="24"/>
        </w:rPr>
        <w:t>元）</w:t>
      </w:r>
      <w:r>
        <w:rPr>
          <w:rFonts w:hint="eastAsia" w:ascii="宋体" w:hAnsi="宋体" w:cs="宋体"/>
          <w:bCs/>
          <w:sz w:val="24"/>
        </w:rPr>
        <w:t>。</w:t>
      </w:r>
    </w:p>
    <w:p w14:paraId="29A529EE">
      <w:pPr>
        <w:spacing w:line="360" w:lineRule="auto"/>
        <w:ind w:firstLine="480" w:firstLineChars="200"/>
        <w:jc w:val="left"/>
        <w:rPr>
          <w:rFonts w:ascii="宋体" w:hAnsi="宋体"/>
          <w:bCs/>
          <w:sz w:val="24"/>
        </w:rPr>
      </w:pPr>
      <w:r>
        <w:rPr>
          <w:rFonts w:hint="eastAsia" w:ascii="宋体" w:hAnsi="宋体"/>
          <w:bCs/>
          <w:color w:val="0C0C0C"/>
          <w:sz w:val="24"/>
        </w:rPr>
        <w:t>3、供方应当在需方付款前向需方出具合法有效的发票</w:t>
      </w:r>
      <w:r>
        <w:rPr>
          <w:rFonts w:hint="eastAsia" w:ascii="宋体" w:hAnsi="宋体"/>
          <w:bCs/>
          <w:color w:val="0C0C0C"/>
          <w:sz w:val="24"/>
          <w:lang w:eastAsia="zh-CN"/>
        </w:rPr>
        <w:t>（</w:t>
      </w:r>
      <w:r>
        <w:rPr>
          <w:rFonts w:hint="eastAsia" w:ascii="宋体" w:hAnsi="宋体"/>
          <w:bCs/>
          <w:color w:val="0C0C0C"/>
          <w:sz w:val="24"/>
          <w:lang w:val="en-US" w:eastAsia="zh-CN"/>
        </w:rPr>
        <w:t>采购进口货物的，</w:t>
      </w:r>
      <w:r>
        <w:rPr>
          <w:rFonts w:hint="eastAsia" w:ascii="宋体" w:hAnsi="宋体"/>
          <w:bCs/>
          <w:color w:val="0C0C0C"/>
          <w:sz w:val="24"/>
        </w:rPr>
        <w:t>供方应当在需方</w:t>
      </w:r>
      <w:r>
        <w:rPr>
          <w:rFonts w:hint="eastAsia" w:ascii="宋体" w:hAnsi="宋体"/>
          <w:bCs/>
          <w:color w:val="0C0C0C"/>
          <w:sz w:val="24"/>
          <w:lang w:val="en-US" w:eastAsia="zh-CN"/>
        </w:rPr>
        <w:t>支</w:t>
      </w:r>
      <w:r>
        <w:rPr>
          <w:rFonts w:hint="eastAsia" w:ascii="宋体" w:hAnsi="宋体"/>
          <w:bCs/>
          <w:color w:val="0C0C0C"/>
          <w:sz w:val="24"/>
        </w:rPr>
        <w:t>付</w:t>
      </w:r>
      <w:r>
        <w:rPr>
          <w:rFonts w:hint="eastAsia" w:ascii="宋体" w:hAnsi="宋体"/>
          <w:bCs/>
          <w:color w:val="0C0C0C"/>
          <w:sz w:val="24"/>
          <w:lang w:val="en-US" w:eastAsia="zh-CN"/>
        </w:rPr>
        <w:t>预付</w:t>
      </w:r>
      <w:r>
        <w:rPr>
          <w:rFonts w:hint="eastAsia" w:ascii="宋体" w:hAnsi="宋体"/>
          <w:bCs/>
          <w:color w:val="0C0C0C"/>
          <w:sz w:val="24"/>
        </w:rPr>
        <w:t>款前</w:t>
      </w:r>
      <w:r>
        <w:rPr>
          <w:rFonts w:hint="eastAsia" w:ascii="宋体" w:hAnsi="宋体"/>
          <w:bCs/>
          <w:color w:val="0C0C0C"/>
          <w:sz w:val="24"/>
          <w:lang w:val="en-US" w:eastAsia="zh-CN"/>
        </w:rPr>
        <w:t>提交</w:t>
      </w:r>
      <w:r>
        <w:rPr>
          <w:rFonts w:hint="eastAsia" w:ascii="宋体" w:hAnsi="宋体" w:cs="宋体"/>
          <w:bCs/>
          <w:color w:val="0C0C0C"/>
          <w:sz w:val="24"/>
        </w:rPr>
        <w:t>装运单据</w:t>
      </w:r>
      <w:r>
        <w:rPr>
          <w:rFonts w:hint="eastAsia" w:ascii="宋体" w:hAnsi="宋体" w:cs="宋体"/>
          <w:bCs/>
          <w:color w:val="0C0C0C"/>
          <w:sz w:val="24"/>
          <w:lang w:eastAsia="zh-CN"/>
        </w:rPr>
        <w:t>，</w:t>
      </w:r>
      <w:r>
        <w:rPr>
          <w:rFonts w:hint="eastAsia" w:ascii="宋体" w:hAnsi="宋体" w:cs="宋体"/>
          <w:bCs/>
          <w:color w:val="0C0C0C"/>
          <w:sz w:val="24"/>
          <w:lang w:val="en-US" w:eastAsia="zh-CN"/>
        </w:rPr>
        <w:t>在需方支付尾款前开具</w:t>
      </w:r>
      <w:r>
        <w:rPr>
          <w:rFonts w:hint="eastAsia" w:ascii="宋体" w:hAnsi="宋体"/>
          <w:bCs/>
          <w:color w:val="0C0C0C"/>
          <w:sz w:val="24"/>
        </w:rPr>
        <w:t>合法有效的发票</w:t>
      </w:r>
      <w:r>
        <w:rPr>
          <w:rFonts w:hint="eastAsia" w:ascii="宋体" w:hAnsi="宋体" w:cs="宋体"/>
          <w:bCs/>
          <w:color w:val="0C0C0C"/>
          <w:sz w:val="24"/>
          <w:lang w:eastAsia="zh-CN"/>
        </w:rPr>
        <w:t>）</w:t>
      </w:r>
      <w:r>
        <w:rPr>
          <w:rFonts w:hint="eastAsia" w:ascii="宋体" w:hAnsi="宋体"/>
          <w:bCs/>
          <w:color w:val="0C0C0C"/>
          <w:sz w:val="24"/>
        </w:rPr>
        <w:t>，</w:t>
      </w:r>
      <w:r>
        <w:rPr>
          <w:rFonts w:hint="eastAsia" w:ascii="宋体" w:hAnsi="宋体"/>
          <w:bCs/>
          <w:sz w:val="24"/>
        </w:rPr>
        <w:t>否则，需方有权拒绝支付相应的货款。</w:t>
      </w:r>
    </w:p>
    <w:p w14:paraId="04AB12DF">
      <w:pPr>
        <w:spacing w:line="360" w:lineRule="auto"/>
        <w:ind w:firstLine="472" w:firstLineChars="196"/>
        <w:jc w:val="left"/>
        <w:rPr>
          <w:rFonts w:ascii="宋体" w:hAnsi="宋体"/>
          <w:b/>
          <w:sz w:val="24"/>
        </w:rPr>
      </w:pPr>
      <w:bookmarkStart w:id="51" w:name="_Toc326248003"/>
      <w:r>
        <w:rPr>
          <w:rFonts w:hint="eastAsia" w:ascii="宋体" w:hAnsi="宋体"/>
          <w:b/>
          <w:sz w:val="24"/>
        </w:rPr>
        <w:t>四、售后服务及承诺</w:t>
      </w:r>
      <w:bookmarkEnd w:id="51"/>
    </w:p>
    <w:p w14:paraId="2E6E9A43">
      <w:pPr>
        <w:spacing w:line="360" w:lineRule="auto"/>
        <w:ind w:firstLine="480" w:firstLineChars="200"/>
        <w:jc w:val="left"/>
        <w:rPr>
          <w:rFonts w:ascii="宋体" w:hAnsi="宋体"/>
          <w:bCs/>
          <w:sz w:val="24"/>
        </w:rPr>
      </w:pPr>
      <w:r>
        <w:rPr>
          <w:rFonts w:hint="eastAsia" w:ascii="宋体" w:hAnsi="宋体"/>
          <w:bCs/>
          <w:sz w:val="24"/>
        </w:rPr>
        <w:t>供方向需方承诺：所供货物质保期为</w:t>
      </w:r>
      <w:r>
        <w:rPr>
          <w:rFonts w:hint="eastAsia" w:ascii="宋体" w:hAnsi="宋体"/>
          <w:bCs/>
          <w:sz w:val="24"/>
          <w:u w:val="single"/>
        </w:rPr>
        <w:t xml:space="preserve"> X </w:t>
      </w:r>
      <w:r>
        <w:rPr>
          <w:rFonts w:hint="eastAsia" w:ascii="宋体" w:hAnsi="宋体"/>
          <w:bCs/>
          <w:sz w:val="24"/>
        </w:rPr>
        <w:t>年，从质量验收合格之日算起。详见售后服务承诺（附件三）。</w:t>
      </w:r>
    </w:p>
    <w:p w14:paraId="293ACD51">
      <w:pPr>
        <w:spacing w:line="360" w:lineRule="auto"/>
        <w:ind w:firstLine="482" w:firstLineChars="200"/>
        <w:jc w:val="left"/>
        <w:rPr>
          <w:rFonts w:ascii="宋体" w:hAnsi="宋体"/>
          <w:b/>
          <w:sz w:val="24"/>
        </w:rPr>
      </w:pPr>
      <w:bookmarkStart w:id="52" w:name="_Toc326248004"/>
      <w:r>
        <w:rPr>
          <w:rFonts w:hint="eastAsia" w:ascii="宋体" w:hAnsi="宋体"/>
          <w:b/>
          <w:sz w:val="24"/>
        </w:rPr>
        <w:t>五、交货</w:t>
      </w:r>
      <w:bookmarkEnd w:id="52"/>
    </w:p>
    <w:p w14:paraId="439F55F1">
      <w:pPr>
        <w:spacing w:line="360" w:lineRule="auto"/>
        <w:ind w:firstLine="480" w:firstLineChars="200"/>
        <w:jc w:val="left"/>
        <w:rPr>
          <w:rFonts w:ascii="宋体" w:hAnsi="宋体"/>
          <w:sz w:val="24"/>
        </w:rPr>
      </w:pPr>
      <w:r>
        <w:rPr>
          <w:rFonts w:hint="eastAsia" w:ascii="宋体" w:hAnsi="宋体"/>
          <w:sz w:val="24"/>
        </w:rPr>
        <w:t xml:space="preserve">1、交货日期：自合同签订之日起 </w:t>
      </w:r>
      <w:r>
        <w:rPr>
          <w:rFonts w:hint="eastAsia" w:ascii="宋体" w:hAnsi="宋体"/>
          <w:sz w:val="24"/>
          <w:u w:val="single"/>
        </w:rPr>
        <w:t xml:space="preserve"> X </w:t>
      </w:r>
      <w:r>
        <w:rPr>
          <w:rFonts w:hint="eastAsia" w:ascii="宋体" w:hAnsi="宋体"/>
          <w:sz w:val="24"/>
        </w:rPr>
        <w:t>天内，供方应向需方完成供货、安装调试、质量验收等相关交货手续。</w:t>
      </w:r>
    </w:p>
    <w:p w14:paraId="547386A4">
      <w:pPr>
        <w:spacing w:line="360" w:lineRule="auto"/>
        <w:ind w:firstLine="480" w:firstLineChars="200"/>
        <w:jc w:val="left"/>
        <w:rPr>
          <w:rFonts w:ascii="宋体" w:hAnsi="宋体"/>
          <w:sz w:val="24"/>
        </w:rPr>
      </w:pPr>
      <w:r>
        <w:rPr>
          <w:rFonts w:hint="eastAsia" w:ascii="宋体" w:hAnsi="宋体"/>
          <w:sz w:val="24"/>
        </w:rPr>
        <w:t>2、交货地点：需方</w:t>
      </w:r>
      <w:r>
        <w:rPr>
          <w:rFonts w:ascii="宋体" w:hAnsi="宋体"/>
          <w:sz w:val="24"/>
        </w:rPr>
        <w:t>指定的</w:t>
      </w:r>
      <w:r>
        <w:rPr>
          <w:rFonts w:hint="eastAsia" w:ascii="宋体" w:hAnsi="宋体"/>
          <w:sz w:val="24"/>
        </w:rPr>
        <w:t xml:space="preserve">交付地点。 </w:t>
      </w:r>
    </w:p>
    <w:p w14:paraId="7AEB5786">
      <w:pPr>
        <w:spacing w:line="360" w:lineRule="auto"/>
        <w:ind w:firstLine="480" w:firstLineChars="200"/>
        <w:jc w:val="left"/>
        <w:rPr>
          <w:rFonts w:ascii="宋体" w:hAnsi="宋体"/>
          <w:sz w:val="24"/>
        </w:rPr>
      </w:pPr>
      <w:r>
        <w:rPr>
          <w:rFonts w:hint="eastAsia" w:ascii="宋体" w:hAnsi="宋体"/>
          <w:sz w:val="24"/>
        </w:rPr>
        <w:t>3、货物的运输由供方自行解决，费用由供方负担。</w:t>
      </w:r>
    </w:p>
    <w:p w14:paraId="0CE39CBA">
      <w:pPr>
        <w:spacing w:line="360" w:lineRule="auto"/>
        <w:ind w:firstLine="480" w:firstLineChars="200"/>
        <w:jc w:val="left"/>
        <w:rPr>
          <w:rFonts w:ascii="宋体" w:hAnsi="宋体"/>
          <w:sz w:val="24"/>
        </w:rPr>
      </w:pPr>
      <w:r>
        <w:rPr>
          <w:rFonts w:hint="eastAsia" w:ascii="宋体" w:hAnsi="宋体"/>
          <w:sz w:val="24"/>
        </w:rPr>
        <w:t>4、全部货物须采用符合标准要求的包装，确保货物完好运抵现场。若由于包装不善引起货物锈蚀、损坏和丢失的一切责任，供方承担修复、更换、补缺、补货的全部费用。</w:t>
      </w:r>
    </w:p>
    <w:p w14:paraId="7F43D217">
      <w:pPr>
        <w:spacing w:line="360" w:lineRule="auto"/>
        <w:ind w:firstLine="472" w:firstLineChars="196"/>
        <w:jc w:val="left"/>
        <w:rPr>
          <w:rFonts w:ascii="宋体" w:hAnsi="宋体"/>
          <w:b/>
          <w:sz w:val="24"/>
        </w:rPr>
      </w:pPr>
      <w:bookmarkStart w:id="53" w:name="_Toc326248005"/>
      <w:r>
        <w:rPr>
          <w:rFonts w:hint="eastAsia" w:ascii="宋体" w:hAnsi="宋体"/>
          <w:b/>
          <w:sz w:val="24"/>
        </w:rPr>
        <w:t>六、</w:t>
      </w:r>
      <w:bookmarkEnd w:id="53"/>
      <w:r>
        <w:rPr>
          <w:rFonts w:hint="eastAsia" w:ascii="宋体" w:hAnsi="宋体"/>
          <w:b/>
          <w:sz w:val="24"/>
        </w:rPr>
        <w:t>初验</w:t>
      </w:r>
    </w:p>
    <w:p w14:paraId="20BEEB15">
      <w:pPr>
        <w:spacing w:line="360" w:lineRule="auto"/>
        <w:ind w:firstLine="480" w:firstLineChars="200"/>
        <w:jc w:val="left"/>
        <w:rPr>
          <w:rFonts w:ascii="宋体" w:hAnsi="宋体"/>
          <w:sz w:val="24"/>
        </w:rPr>
      </w:pPr>
      <w:r>
        <w:rPr>
          <w:rFonts w:hint="eastAsia" w:ascii="宋体" w:hAnsi="宋体"/>
          <w:sz w:val="24"/>
        </w:rPr>
        <w:t>1、货物送至需方指定交付地点后，由供方负责卸货，费用由供方负担。</w:t>
      </w:r>
    </w:p>
    <w:p w14:paraId="1A5E2043">
      <w:pPr>
        <w:spacing w:line="360" w:lineRule="auto"/>
        <w:ind w:firstLine="480" w:firstLineChars="200"/>
        <w:jc w:val="left"/>
        <w:rPr>
          <w:rFonts w:ascii="宋体" w:hAnsi="宋体"/>
          <w:sz w:val="24"/>
        </w:rPr>
      </w:pPr>
      <w:r>
        <w:rPr>
          <w:rFonts w:hint="eastAsia" w:ascii="宋体" w:hAnsi="宋体"/>
          <w:sz w:val="24"/>
        </w:rPr>
        <w:t>2、需方依据货物装箱单、合同货物清单等对物品进行初步点验，检验货物的包装、规格、型号、数量及外观，确认无误后在货物</w:t>
      </w:r>
      <w:r>
        <w:rPr>
          <w:rFonts w:ascii="宋体" w:hAnsi="宋体"/>
          <w:sz w:val="24"/>
        </w:rPr>
        <w:t>签收</w:t>
      </w:r>
      <w:r>
        <w:rPr>
          <w:rFonts w:hint="eastAsia" w:ascii="宋体" w:hAnsi="宋体"/>
          <w:sz w:val="24"/>
        </w:rPr>
        <w:t>单上签字，初验合格不视为货物完成交付，货物毁损、灭失的风险尚未转移至需方。初验合格不视为产品质量验收合格。</w:t>
      </w:r>
    </w:p>
    <w:p w14:paraId="387E9912">
      <w:pPr>
        <w:spacing w:line="360" w:lineRule="auto"/>
        <w:ind w:firstLine="480" w:firstLineChars="200"/>
        <w:jc w:val="left"/>
        <w:rPr>
          <w:rFonts w:ascii="宋体" w:hAnsi="宋体"/>
          <w:sz w:val="24"/>
        </w:rPr>
      </w:pPr>
      <w:r>
        <w:rPr>
          <w:rFonts w:hint="eastAsia" w:ascii="宋体" w:hAnsi="宋体"/>
          <w:sz w:val="24"/>
        </w:rPr>
        <w:t>3、初步验收时，若发现规格、型号、数量及外观与合同或订单不符的情况，需方有权拒收货物，并当场反馈供方。供方应当在3日内按需方要求免费对拒收货物采取更换或其他必要的补救措施，直至初步验收合格。</w:t>
      </w:r>
    </w:p>
    <w:p w14:paraId="615AB875">
      <w:pPr>
        <w:spacing w:line="360" w:lineRule="auto"/>
        <w:ind w:firstLine="480" w:firstLineChars="200"/>
        <w:jc w:val="left"/>
        <w:rPr>
          <w:rFonts w:ascii="宋体" w:hAnsi="宋体"/>
          <w:sz w:val="24"/>
        </w:rPr>
      </w:pPr>
      <w:r>
        <w:rPr>
          <w:rFonts w:hint="eastAsia" w:ascii="宋体" w:hAnsi="宋体"/>
          <w:sz w:val="24"/>
        </w:rPr>
        <w:t>4、在交货日期之后发现因供方原因造成的货物与装箱清单数目、规格不一致的，供方仍应当承担货物交付不当的责任。</w:t>
      </w:r>
    </w:p>
    <w:p w14:paraId="32E34C2C">
      <w:pPr>
        <w:spacing w:line="360" w:lineRule="auto"/>
        <w:ind w:firstLine="480" w:firstLineChars="200"/>
        <w:jc w:val="left"/>
        <w:rPr>
          <w:rFonts w:ascii="宋体" w:hAnsi="宋体"/>
          <w:sz w:val="24"/>
        </w:rPr>
      </w:pPr>
      <w:r>
        <w:rPr>
          <w:rFonts w:hint="eastAsia" w:ascii="宋体" w:hAnsi="宋体"/>
          <w:sz w:val="24"/>
        </w:rPr>
        <w:t>5、供方应提供货物的完整资料，包括但不限于产品说明书、产品质量检验合格证、质量检测报告、技术资料、相应质检必备材料等，产品资料应当与货物同时交付。需方如果发现相关资料存在有误、短缺或损坏，供方应在收到需方的通知后7日内免费替换、补齐短缺或损坏的部分。</w:t>
      </w:r>
    </w:p>
    <w:p w14:paraId="0313FA07">
      <w:pPr>
        <w:spacing w:line="360" w:lineRule="auto"/>
        <w:ind w:firstLine="434"/>
        <w:jc w:val="left"/>
        <w:rPr>
          <w:rFonts w:ascii="宋体" w:hAnsi="宋体"/>
          <w:b/>
          <w:sz w:val="24"/>
        </w:rPr>
      </w:pPr>
      <w:r>
        <w:rPr>
          <w:rFonts w:hint="eastAsia" w:ascii="宋体" w:hAnsi="宋体"/>
          <w:b/>
          <w:sz w:val="24"/>
        </w:rPr>
        <w:t>七、货物的安装、调试</w:t>
      </w:r>
    </w:p>
    <w:p w14:paraId="6849CA90">
      <w:pPr>
        <w:spacing w:line="360" w:lineRule="auto"/>
        <w:ind w:firstLine="434"/>
        <w:jc w:val="left"/>
        <w:rPr>
          <w:rFonts w:ascii="宋体" w:hAnsi="宋体"/>
          <w:sz w:val="24"/>
        </w:rPr>
      </w:pPr>
      <w:r>
        <w:rPr>
          <w:rFonts w:hint="eastAsia" w:ascii="宋体" w:hAnsi="宋体"/>
          <w:sz w:val="24"/>
        </w:rPr>
        <w:t>1、供方必须严格按双方签字确认的施工方案及工期完成安装调试工作。</w:t>
      </w:r>
    </w:p>
    <w:p w14:paraId="28EB0B54">
      <w:pPr>
        <w:spacing w:line="360" w:lineRule="auto"/>
        <w:ind w:firstLine="434"/>
        <w:jc w:val="left"/>
        <w:rPr>
          <w:rFonts w:ascii="宋体" w:hAnsi="宋体"/>
          <w:sz w:val="24"/>
        </w:rPr>
      </w:pPr>
      <w:r>
        <w:rPr>
          <w:rFonts w:hint="eastAsia" w:ascii="宋体" w:hAnsi="宋体"/>
          <w:sz w:val="24"/>
        </w:rPr>
        <w:t>2、因需方原因造成货物安装拖延或推迟安装进程，供方应取得需方书面签证，工期方可顺延。</w:t>
      </w:r>
    </w:p>
    <w:p w14:paraId="577687AA">
      <w:pPr>
        <w:spacing w:line="360" w:lineRule="auto"/>
        <w:ind w:firstLine="434"/>
        <w:jc w:val="left"/>
        <w:rPr>
          <w:rFonts w:ascii="宋体" w:hAnsi="宋体"/>
          <w:b/>
          <w:sz w:val="24"/>
        </w:rPr>
      </w:pPr>
      <w:r>
        <w:rPr>
          <w:rFonts w:hint="eastAsia" w:ascii="宋体" w:hAnsi="宋体"/>
          <w:b/>
          <w:sz w:val="24"/>
        </w:rPr>
        <w:t>八、试运行及质量验收</w:t>
      </w:r>
    </w:p>
    <w:p w14:paraId="00A0EE34">
      <w:pPr>
        <w:spacing w:line="360" w:lineRule="auto"/>
        <w:ind w:firstLine="434"/>
        <w:jc w:val="left"/>
        <w:rPr>
          <w:rFonts w:ascii="宋体" w:hAnsi="宋体"/>
          <w:sz w:val="24"/>
        </w:rPr>
      </w:pPr>
      <w:r>
        <w:rPr>
          <w:rFonts w:hint="eastAsia" w:ascii="宋体" w:hAnsi="宋体"/>
          <w:sz w:val="24"/>
        </w:rPr>
        <w:t>1、货物安装调试完毕后，供方书面通知需方进行现场质量验收，需方应当于收到验收通知后5日内组织质量验收。</w:t>
      </w:r>
    </w:p>
    <w:p w14:paraId="4F6264FE">
      <w:pPr>
        <w:spacing w:line="360" w:lineRule="auto"/>
        <w:ind w:firstLine="434"/>
        <w:jc w:val="left"/>
        <w:rPr>
          <w:rFonts w:ascii="宋体" w:hAnsi="宋体"/>
          <w:sz w:val="24"/>
        </w:rPr>
      </w:pPr>
      <w:r>
        <w:rPr>
          <w:rFonts w:hint="eastAsia" w:ascii="宋体" w:hAnsi="宋体"/>
          <w:sz w:val="24"/>
        </w:rPr>
        <w:t>2、质量验收标准：</w:t>
      </w:r>
    </w:p>
    <w:p w14:paraId="0091A255">
      <w:pPr>
        <w:spacing w:line="360" w:lineRule="auto"/>
        <w:ind w:firstLine="434"/>
        <w:jc w:val="left"/>
        <w:rPr>
          <w:rFonts w:ascii="宋体" w:hAnsi="宋体"/>
          <w:sz w:val="24"/>
        </w:rPr>
      </w:pPr>
      <w:r>
        <w:rPr>
          <w:rFonts w:hint="eastAsia" w:ascii="宋体" w:hAnsi="宋体"/>
          <w:sz w:val="24"/>
        </w:rPr>
        <w:t>（1）供方提交的货物应符合合同中所记载的详细配置、技术参数及性能，并应附有此类货物完整、详细的技术资料和说明文件。</w:t>
      </w:r>
    </w:p>
    <w:p w14:paraId="6710163B">
      <w:pPr>
        <w:spacing w:line="360" w:lineRule="auto"/>
        <w:ind w:firstLine="434"/>
        <w:jc w:val="left"/>
        <w:rPr>
          <w:rFonts w:ascii="宋体" w:hAnsi="宋体"/>
          <w:sz w:val="24"/>
        </w:rPr>
      </w:pPr>
      <w:r>
        <w:rPr>
          <w:rFonts w:hint="eastAsia" w:ascii="宋体" w:hAnsi="宋体"/>
          <w:sz w:val="24"/>
        </w:rPr>
        <w:t>（2）货物整体运行指标符合合同附件约定的内容并满足国家相关标准及行业规范。</w:t>
      </w:r>
    </w:p>
    <w:p w14:paraId="2C8628D5">
      <w:pPr>
        <w:spacing w:line="360" w:lineRule="auto"/>
        <w:ind w:firstLine="434"/>
        <w:jc w:val="left"/>
        <w:rPr>
          <w:rFonts w:ascii="宋体" w:hAnsi="宋体"/>
          <w:sz w:val="24"/>
        </w:rPr>
      </w:pPr>
      <w:r>
        <w:rPr>
          <w:rFonts w:hint="eastAsia" w:ascii="宋体" w:hAnsi="宋体"/>
          <w:sz w:val="24"/>
        </w:rPr>
        <w:t>3、货物经需方质量验收合格后，签署货物验收报告（须需方签字并盖章生效）。</w:t>
      </w:r>
    </w:p>
    <w:p w14:paraId="41940EF2">
      <w:pPr>
        <w:spacing w:line="360" w:lineRule="auto"/>
        <w:ind w:firstLine="434"/>
        <w:jc w:val="left"/>
        <w:rPr>
          <w:rFonts w:ascii="宋体" w:hAnsi="宋体"/>
          <w:sz w:val="24"/>
        </w:rPr>
      </w:pPr>
      <w:r>
        <w:rPr>
          <w:rFonts w:hint="eastAsia" w:ascii="宋体" w:hAnsi="宋体"/>
          <w:sz w:val="24"/>
        </w:rPr>
        <w:t>4、质量验收中如发现货物存在质量问题，由需方书面通知供方质量验收不合格，供方应当在3日内按照需方的要求进行整改，供方在完成整改后重新书面通知需方进行验收。第二次质量验收仍不合格，需方有权以通知的方式单方解除合同。</w:t>
      </w:r>
    </w:p>
    <w:p w14:paraId="2BED2266">
      <w:pPr>
        <w:spacing w:line="360" w:lineRule="auto"/>
        <w:ind w:firstLine="434"/>
        <w:jc w:val="left"/>
        <w:rPr>
          <w:rFonts w:ascii="宋体" w:hAnsi="宋体"/>
          <w:sz w:val="24"/>
        </w:rPr>
      </w:pPr>
      <w:r>
        <w:rPr>
          <w:rFonts w:hint="eastAsia" w:ascii="宋体" w:hAnsi="宋体"/>
          <w:sz w:val="24"/>
        </w:rPr>
        <w:t>5、货物经过需方最终质量验收合格后，视为完成货物交付，货物毁损、灭失的风险转移至需方；需方收到货物并质量验收合格以前所产生的运输、仓储等一切费用，由供方承担；需方质量验收合格以后所产生的运输、仓储等一切费用，由需方承担。</w:t>
      </w:r>
    </w:p>
    <w:p w14:paraId="7AD72537">
      <w:pPr>
        <w:spacing w:line="360" w:lineRule="auto"/>
        <w:ind w:firstLine="472" w:firstLineChars="196"/>
        <w:jc w:val="left"/>
        <w:rPr>
          <w:rFonts w:ascii="宋体" w:hAnsi="宋体"/>
          <w:b/>
          <w:sz w:val="24"/>
        </w:rPr>
      </w:pPr>
      <w:bookmarkStart w:id="54" w:name="_Toc326248006"/>
      <w:r>
        <w:rPr>
          <w:rFonts w:ascii="宋体" w:hAnsi="宋体"/>
          <w:b/>
          <w:sz w:val="24"/>
        </w:rPr>
        <w:t>九</w:t>
      </w:r>
      <w:r>
        <w:rPr>
          <w:rFonts w:hint="eastAsia" w:ascii="宋体" w:hAnsi="宋体"/>
          <w:b/>
          <w:sz w:val="24"/>
        </w:rPr>
        <w:t>、需方责任</w:t>
      </w:r>
      <w:bookmarkEnd w:id="54"/>
    </w:p>
    <w:p w14:paraId="2B9B1F7B">
      <w:pPr>
        <w:spacing w:line="360" w:lineRule="auto"/>
        <w:ind w:firstLine="480" w:firstLineChars="200"/>
        <w:jc w:val="left"/>
        <w:rPr>
          <w:rFonts w:ascii="宋体" w:hAnsi="宋体"/>
          <w:sz w:val="24"/>
        </w:rPr>
      </w:pPr>
      <w:r>
        <w:rPr>
          <w:rFonts w:hint="eastAsia" w:ascii="宋体" w:hAnsi="宋体"/>
          <w:sz w:val="24"/>
        </w:rPr>
        <w:t>1、负责为供方提供工作场地，协助供方办理有关事宜。</w:t>
      </w:r>
    </w:p>
    <w:p w14:paraId="18D710F7">
      <w:pPr>
        <w:spacing w:line="360" w:lineRule="auto"/>
        <w:ind w:firstLine="480" w:firstLineChars="200"/>
        <w:jc w:val="left"/>
        <w:rPr>
          <w:rFonts w:ascii="宋体" w:hAnsi="宋体"/>
          <w:sz w:val="24"/>
        </w:rPr>
      </w:pPr>
      <w:r>
        <w:rPr>
          <w:rFonts w:hint="eastAsia" w:ascii="宋体" w:hAnsi="宋体"/>
          <w:sz w:val="24"/>
        </w:rPr>
        <w:t>2、组织验收，并及时为供方办理付款手续。</w:t>
      </w:r>
    </w:p>
    <w:p w14:paraId="4F3CB1D7">
      <w:pPr>
        <w:spacing w:line="360" w:lineRule="auto"/>
        <w:ind w:firstLine="472" w:firstLineChars="196"/>
        <w:jc w:val="left"/>
        <w:rPr>
          <w:rFonts w:ascii="宋体" w:hAnsi="宋体"/>
          <w:b/>
          <w:sz w:val="24"/>
        </w:rPr>
      </w:pPr>
      <w:bookmarkStart w:id="55" w:name="_Toc326248007"/>
      <w:r>
        <w:rPr>
          <w:rFonts w:ascii="宋体" w:hAnsi="宋体"/>
          <w:b/>
          <w:sz w:val="24"/>
        </w:rPr>
        <w:t>十</w:t>
      </w:r>
      <w:r>
        <w:rPr>
          <w:rFonts w:hint="eastAsia" w:ascii="宋体" w:hAnsi="宋体"/>
          <w:b/>
          <w:sz w:val="24"/>
        </w:rPr>
        <w:t>、供方责任</w:t>
      </w:r>
      <w:bookmarkEnd w:id="55"/>
    </w:p>
    <w:p w14:paraId="58C93E7A">
      <w:pPr>
        <w:spacing w:line="360" w:lineRule="auto"/>
        <w:ind w:firstLine="470" w:firstLineChars="196"/>
        <w:jc w:val="left"/>
        <w:rPr>
          <w:rFonts w:ascii="宋体" w:hAnsi="宋体"/>
          <w:sz w:val="24"/>
        </w:rPr>
      </w:pPr>
      <w:bookmarkStart w:id="56" w:name="_Toc326248008"/>
      <w:r>
        <w:rPr>
          <w:rFonts w:hint="eastAsia" w:ascii="宋体" w:hAnsi="宋体"/>
          <w:sz w:val="24"/>
        </w:rPr>
        <w:t>1、保证所供货物均为投标</w:t>
      </w:r>
      <w:r>
        <w:rPr>
          <w:rFonts w:ascii="宋体" w:hAnsi="宋体"/>
          <w:sz w:val="24"/>
        </w:rPr>
        <w:t>（</w:t>
      </w:r>
      <w:r>
        <w:rPr>
          <w:rFonts w:hint="eastAsia" w:ascii="宋体" w:hAnsi="宋体"/>
          <w:sz w:val="24"/>
        </w:rPr>
        <w:t>响应</w:t>
      </w:r>
      <w:r>
        <w:rPr>
          <w:rFonts w:ascii="宋体" w:hAnsi="宋体"/>
          <w:sz w:val="24"/>
        </w:rPr>
        <w:t>）</w:t>
      </w:r>
      <w:r>
        <w:rPr>
          <w:rFonts w:hint="eastAsia" w:ascii="宋体" w:hAnsi="宋体"/>
          <w:sz w:val="24"/>
        </w:rPr>
        <w:t>文件承诺货物，符合相关质量检测标准。</w:t>
      </w:r>
    </w:p>
    <w:p w14:paraId="5774DCA0">
      <w:pPr>
        <w:spacing w:line="360" w:lineRule="auto"/>
        <w:ind w:firstLine="470" w:firstLineChars="196"/>
        <w:jc w:val="left"/>
        <w:rPr>
          <w:rFonts w:ascii="宋体" w:hAnsi="宋体"/>
          <w:sz w:val="24"/>
        </w:rPr>
      </w:pPr>
      <w:r>
        <w:rPr>
          <w:rFonts w:hint="eastAsia" w:ascii="宋体" w:hAnsi="宋体"/>
          <w:sz w:val="24"/>
        </w:rPr>
        <w:t>2、保证货物的售后服务，严格依据投标</w:t>
      </w:r>
      <w:r>
        <w:rPr>
          <w:rFonts w:ascii="宋体" w:hAnsi="宋体"/>
          <w:sz w:val="24"/>
        </w:rPr>
        <w:t>（</w:t>
      </w:r>
      <w:r>
        <w:rPr>
          <w:rFonts w:hint="eastAsia" w:ascii="宋体" w:hAnsi="宋体"/>
          <w:sz w:val="24"/>
        </w:rPr>
        <w:t>响应</w:t>
      </w:r>
      <w:r>
        <w:rPr>
          <w:rFonts w:ascii="宋体" w:hAnsi="宋体"/>
          <w:sz w:val="24"/>
        </w:rPr>
        <w:t>）</w:t>
      </w:r>
      <w:r>
        <w:rPr>
          <w:rFonts w:hint="eastAsia" w:ascii="宋体" w:hAnsi="宋体"/>
          <w:sz w:val="24"/>
        </w:rPr>
        <w:t>文件及相关承诺，对货物及配件进行保修、保养等服务。</w:t>
      </w:r>
    </w:p>
    <w:p w14:paraId="584113AD">
      <w:pPr>
        <w:spacing w:line="360" w:lineRule="auto"/>
        <w:ind w:firstLine="470" w:firstLineChars="196"/>
        <w:jc w:val="left"/>
        <w:rPr>
          <w:rFonts w:ascii="宋体" w:hAnsi="宋体"/>
          <w:sz w:val="24"/>
        </w:rPr>
      </w:pPr>
      <w:r>
        <w:rPr>
          <w:rFonts w:hint="eastAsia" w:ascii="宋体" w:hAnsi="宋体"/>
          <w:sz w:val="24"/>
        </w:rPr>
        <w:t>3、严格按照合同附件及需方的要求安装调试及施工。</w:t>
      </w:r>
    </w:p>
    <w:p w14:paraId="6897B7B0">
      <w:pPr>
        <w:spacing w:line="360" w:lineRule="auto"/>
        <w:ind w:firstLine="470" w:firstLineChars="196"/>
        <w:jc w:val="left"/>
        <w:rPr>
          <w:rFonts w:ascii="宋体" w:hAnsi="宋体"/>
          <w:sz w:val="24"/>
        </w:rPr>
      </w:pPr>
      <w:r>
        <w:rPr>
          <w:rFonts w:hint="eastAsia" w:ascii="宋体" w:hAnsi="宋体"/>
          <w:sz w:val="24"/>
        </w:rPr>
        <w:t>4、遵守施工规章制度及安全条例，承担自身安全措施不力而造成事故的责任和因此发生的一切费用。</w:t>
      </w:r>
    </w:p>
    <w:p w14:paraId="42D9E978">
      <w:pPr>
        <w:spacing w:line="360" w:lineRule="auto"/>
        <w:ind w:firstLine="470" w:firstLineChars="196"/>
        <w:jc w:val="left"/>
        <w:rPr>
          <w:rFonts w:ascii="宋体" w:hAnsi="宋体"/>
          <w:sz w:val="24"/>
        </w:rPr>
      </w:pPr>
      <w:r>
        <w:rPr>
          <w:rFonts w:hint="eastAsia" w:ascii="宋体" w:hAnsi="宋体"/>
          <w:sz w:val="24"/>
        </w:rPr>
        <w:t>5、供方保证需要在使用该货物时不受第三方提出侵犯其专利权、版权、商标权或其他权利的起诉。一旦出现侵权，索赔或诉讼，供方应承担全部责任。</w:t>
      </w:r>
    </w:p>
    <w:p w14:paraId="43BD2D90">
      <w:pPr>
        <w:spacing w:line="360" w:lineRule="auto"/>
        <w:ind w:firstLine="470" w:firstLineChars="196"/>
        <w:jc w:val="left"/>
        <w:rPr>
          <w:rFonts w:ascii="宋体" w:hAnsi="宋体"/>
          <w:sz w:val="24"/>
        </w:rPr>
      </w:pPr>
      <w:r>
        <w:rPr>
          <w:rFonts w:hint="eastAsia" w:ascii="宋体" w:hAnsi="宋体"/>
          <w:sz w:val="24"/>
        </w:rPr>
        <w:t>6、对施工完毕但未经验收的产品予以保护。</w:t>
      </w:r>
    </w:p>
    <w:p w14:paraId="2D949AAC">
      <w:pPr>
        <w:spacing w:line="360" w:lineRule="auto"/>
        <w:ind w:firstLine="470" w:firstLineChars="196"/>
        <w:jc w:val="left"/>
        <w:rPr>
          <w:rFonts w:ascii="宋体" w:hAnsi="宋体"/>
          <w:sz w:val="24"/>
        </w:rPr>
      </w:pPr>
      <w:r>
        <w:rPr>
          <w:rFonts w:hint="eastAsia" w:ascii="宋体" w:hAnsi="宋体"/>
          <w:sz w:val="24"/>
        </w:rPr>
        <w:t>7、向需方提供相关技术资料，对其材料、设备及施工的质量向需方负责。</w:t>
      </w:r>
    </w:p>
    <w:p w14:paraId="3CC9493F">
      <w:pPr>
        <w:spacing w:line="360" w:lineRule="auto"/>
        <w:ind w:firstLine="470" w:firstLineChars="196"/>
        <w:jc w:val="left"/>
        <w:rPr>
          <w:rFonts w:ascii="宋体" w:hAnsi="宋体"/>
          <w:sz w:val="24"/>
        </w:rPr>
      </w:pPr>
      <w:r>
        <w:rPr>
          <w:rFonts w:hint="eastAsia" w:ascii="宋体" w:hAnsi="宋体"/>
          <w:sz w:val="24"/>
        </w:rPr>
        <w:t>8、供方保证货物不存在危及人身及财产安全的产品缺陷。若由于缺陷致使出现安全事故，由此产生的全部责任（包括但不限于侵权损害赔偿、行政机关的罚款等）由供方承担，与需方无关。</w:t>
      </w:r>
    </w:p>
    <w:p w14:paraId="0CCBA297">
      <w:pPr>
        <w:spacing w:line="360" w:lineRule="auto"/>
        <w:ind w:firstLine="472" w:firstLineChars="196"/>
        <w:jc w:val="left"/>
        <w:rPr>
          <w:rFonts w:ascii="宋体" w:hAnsi="宋体"/>
          <w:b/>
          <w:sz w:val="24"/>
        </w:rPr>
      </w:pPr>
      <w:r>
        <w:rPr>
          <w:rFonts w:ascii="宋体" w:hAnsi="宋体"/>
          <w:b/>
          <w:sz w:val="24"/>
        </w:rPr>
        <w:t>十一</w:t>
      </w:r>
      <w:r>
        <w:rPr>
          <w:rFonts w:hint="eastAsia" w:ascii="宋体" w:hAnsi="宋体"/>
          <w:b/>
          <w:sz w:val="24"/>
        </w:rPr>
        <w:t>、违约责任</w:t>
      </w:r>
      <w:bookmarkEnd w:id="56"/>
    </w:p>
    <w:p w14:paraId="1115F789">
      <w:pPr>
        <w:spacing w:line="360" w:lineRule="auto"/>
        <w:ind w:firstLine="470" w:firstLineChars="196"/>
        <w:jc w:val="left"/>
        <w:rPr>
          <w:rFonts w:hint="eastAsia" w:ascii="宋体" w:hAnsi="宋体"/>
          <w:sz w:val="24"/>
        </w:rPr>
      </w:pPr>
      <w:bookmarkStart w:id="57" w:name="_Toc326248009"/>
      <w:r>
        <w:rPr>
          <w:rFonts w:hint="eastAsia" w:ascii="宋体" w:hAnsi="宋体"/>
          <w:sz w:val="24"/>
        </w:rPr>
        <w:t>1、供方所交付的货物品种、型号、规格、质量不符合合同约定的，需方有权拒收。供方在15日内未整改完毕，需方有权采取以下方式：</w:t>
      </w:r>
    </w:p>
    <w:p w14:paraId="70E89EC3">
      <w:pPr>
        <w:spacing w:line="360" w:lineRule="auto"/>
        <w:ind w:firstLine="470" w:firstLineChars="196"/>
        <w:jc w:val="left"/>
        <w:rPr>
          <w:rFonts w:hint="eastAsia" w:ascii="宋体" w:hAnsi="宋体"/>
          <w:sz w:val="24"/>
        </w:rPr>
      </w:pPr>
      <w:r>
        <w:rPr>
          <w:rFonts w:hint="eastAsia" w:ascii="宋体" w:hAnsi="宋体"/>
          <w:sz w:val="24"/>
        </w:rPr>
        <w:t>（1）向供方退回不符合合同约定的货物，供方应当退还相应的已付货款及利息，同时供方向需方支付合同总额3%的违约金。</w:t>
      </w:r>
    </w:p>
    <w:p w14:paraId="11B87D53">
      <w:pPr>
        <w:spacing w:line="360" w:lineRule="auto"/>
        <w:ind w:firstLine="470" w:firstLineChars="196"/>
        <w:jc w:val="left"/>
        <w:rPr>
          <w:rFonts w:ascii="宋体" w:hAnsi="宋体"/>
          <w:sz w:val="24"/>
        </w:rPr>
      </w:pPr>
      <w:r>
        <w:rPr>
          <w:rFonts w:hint="eastAsia" w:ascii="宋体" w:hAnsi="宋体"/>
          <w:sz w:val="24"/>
        </w:rPr>
        <w:t>（2）以书面通知的方式单方解除合同，自通知到达供方之日起合同解除，供方应当退还需方全部已付货款及利息。同时，供方向需方支付合同款总额5%的违约金。</w:t>
      </w:r>
    </w:p>
    <w:p w14:paraId="4AEE7142">
      <w:pPr>
        <w:spacing w:line="360" w:lineRule="auto"/>
        <w:ind w:firstLine="470" w:firstLineChars="196"/>
        <w:jc w:val="left"/>
        <w:rPr>
          <w:rFonts w:ascii="宋体" w:hAnsi="宋体"/>
          <w:sz w:val="24"/>
        </w:rPr>
      </w:pPr>
      <w:r>
        <w:rPr>
          <w:rFonts w:hint="eastAsia" w:ascii="宋体" w:hAnsi="宋体"/>
          <w:sz w:val="24"/>
        </w:rPr>
        <w:t>2、供方不能交付货物或者出现严重影响本合同履行的情况（包括但不限于经营状况恶化、产品质量问题被处罚、采购或定制货物节点严重迟延等），需方有权以通知方式单方解除合同，自解除通知到达供方之日起合同解除，供方应当退还全部已付货款及利息，同时供方向需方支付合同总额5%的违约金。</w:t>
      </w:r>
    </w:p>
    <w:p w14:paraId="6B9D1D4F">
      <w:pPr>
        <w:spacing w:line="360" w:lineRule="auto"/>
        <w:ind w:firstLine="470" w:firstLineChars="196"/>
        <w:jc w:val="left"/>
        <w:rPr>
          <w:rFonts w:hint="eastAsia" w:ascii="宋体" w:hAnsi="宋体"/>
          <w:sz w:val="24"/>
        </w:rPr>
      </w:pPr>
      <w:r>
        <w:rPr>
          <w:rFonts w:hint="eastAsia" w:ascii="宋体" w:hAnsi="宋体"/>
          <w:sz w:val="24"/>
        </w:rPr>
        <w:t>3、供方逾期交付货物时，每逾1日供方向需方偿付合同款总额3‰的滞纳金。逾期交货超过30天后，需方有权以通知的方式单方解除合同，自通知到达对方之日起合同解除，供方应当退还需方全部已付货款及利息，同时供方向需方偿付合同款总额5%的违约金。</w:t>
      </w:r>
    </w:p>
    <w:p w14:paraId="1E497C81">
      <w:pPr>
        <w:spacing w:line="360" w:lineRule="auto"/>
        <w:ind w:firstLine="470" w:firstLineChars="196"/>
        <w:jc w:val="left"/>
        <w:rPr>
          <w:rFonts w:hint="eastAsia" w:ascii="宋体" w:hAnsi="宋体"/>
          <w:sz w:val="24"/>
        </w:rPr>
      </w:pPr>
      <w:r>
        <w:rPr>
          <w:rFonts w:hint="eastAsia" w:ascii="宋体" w:hAnsi="宋体"/>
          <w:sz w:val="24"/>
        </w:rPr>
        <w:t>上述1-3条的利息计算方法为：自需方支付货款之日起算至实际退还之日，以应退货款金额为基数，按照合同订立时1年期贷款市场报价利率计算。</w:t>
      </w:r>
    </w:p>
    <w:p w14:paraId="1827474F">
      <w:pPr>
        <w:spacing w:line="360" w:lineRule="auto"/>
        <w:ind w:firstLine="470" w:firstLineChars="196"/>
        <w:jc w:val="left"/>
        <w:rPr>
          <w:rFonts w:hint="eastAsia" w:ascii="宋体" w:hAnsi="宋体"/>
          <w:sz w:val="24"/>
        </w:rPr>
      </w:pPr>
      <w:r>
        <w:rPr>
          <w:rFonts w:hint="eastAsia" w:ascii="宋体" w:hAnsi="宋体"/>
          <w:sz w:val="24"/>
        </w:rPr>
        <w:t>4、需方应当按照合同约定及时履行付款义务。需方逾期付款超过30日的，需方应当向供方支付逾期付款违约金，计算方法为：自逾期满30日起算至实际付款之日，以应付未付款金额为基数，按照合同订立时1年期贷款市场报价利率计算逾期付款违约金。</w:t>
      </w:r>
    </w:p>
    <w:p w14:paraId="75F878DB">
      <w:pPr>
        <w:spacing w:line="360" w:lineRule="auto"/>
        <w:ind w:firstLine="470" w:firstLineChars="196"/>
        <w:jc w:val="left"/>
        <w:rPr>
          <w:rFonts w:hint="eastAsia" w:ascii="宋体" w:hAnsi="宋体"/>
          <w:sz w:val="24"/>
        </w:rPr>
      </w:pPr>
      <w:r>
        <w:rPr>
          <w:rFonts w:hint="eastAsia" w:ascii="宋体" w:hAnsi="宋体"/>
          <w:sz w:val="24"/>
        </w:rPr>
        <w:t>5、如果供方未按照本合同约定履行合同义务，需方有权直接扣除履约保证金来抵偿供方应当向需方支付的违约金、损失赔偿金、需方维权所需费用等。履约保证金不足以抵偿上述费用的，需方有权继续主张索赔。</w:t>
      </w:r>
    </w:p>
    <w:p w14:paraId="32C7B7BA">
      <w:pPr>
        <w:spacing w:line="360" w:lineRule="auto"/>
        <w:ind w:firstLine="470" w:firstLineChars="196"/>
        <w:jc w:val="left"/>
        <w:rPr>
          <w:rFonts w:ascii="宋体" w:hAnsi="宋体"/>
          <w:sz w:val="24"/>
        </w:rPr>
      </w:pPr>
      <w:r>
        <w:rPr>
          <w:rFonts w:hint="eastAsia" w:ascii="宋体" w:hAnsi="宋体"/>
          <w:sz w:val="24"/>
        </w:rPr>
        <w:t>6、合同执行过程中，供、需双方中一方要求中止或变更合同，需书面（公函、传真）通知对方，对方接通知后应在15天内以书面形式答复对方是否同意，具体事宜按《中华人民共和国民法典》办理。</w:t>
      </w:r>
    </w:p>
    <w:bookmarkEnd w:id="57"/>
    <w:p w14:paraId="74A353C7">
      <w:pPr>
        <w:spacing w:line="360" w:lineRule="auto"/>
        <w:ind w:firstLine="472" w:firstLineChars="196"/>
        <w:jc w:val="left"/>
        <w:rPr>
          <w:rFonts w:ascii="宋体" w:hAnsi="宋体"/>
          <w:b/>
          <w:sz w:val="24"/>
        </w:rPr>
      </w:pPr>
      <w:r>
        <w:rPr>
          <w:rFonts w:hint="eastAsia" w:ascii="宋体" w:hAnsi="宋体"/>
          <w:b/>
          <w:sz w:val="24"/>
        </w:rPr>
        <w:t>十二、不可抗力</w:t>
      </w:r>
    </w:p>
    <w:p w14:paraId="4BFB327A">
      <w:pPr>
        <w:spacing w:line="360" w:lineRule="auto"/>
        <w:ind w:firstLine="470" w:firstLineChars="196"/>
        <w:jc w:val="left"/>
        <w:rPr>
          <w:rFonts w:ascii="宋体" w:hAnsi="宋体"/>
          <w:sz w:val="24"/>
        </w:rPr>
      </w:pPr>
      <w:r>
        <w:rPr>
          <w:rFonts w:hint="eastAsia" w:ascii="宋体" w:hAnsi="宋体"/>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745B197">
      <w:pPr>
        <w:spacing w:line="360" w:lineRule="auto"/>
        <w:ind w:firstLine="472" w:firstLineChars="196"/>
        <w:jc w:val="left"/>
        <w:rPr>
          <w:rFonts w:ascii="宋体" w:hAnsi="宋体"/>
          <w:b/>
          <w:sz w:val="24"/>
        </w:rPr>
      </w:pPr>
      <w:bookmarkStart w:id="58" w:name="_Toc326248010"/>
      <w:r>
        <w:rPr>
          <w:rFonts w:hint="eastAsia" w:ascii="宋体" w:hAnsi="宋体"/>
          <w:b/>
          <w:sz w:val="24"/>
        </w:rPr>
        <w:t>十三、争议解决</w:t>
      </w:r>
      <w:bookmarkEnd w:id="58"/>
    </w:p>
    <w:p w14:paraId="1F741476">
      <w:pPr>
        <w:spacing w:line="360" w:lineRule="auto"/>
        <w:ind w:firstLine="470" w:firstLineChars="196"/>
        <w:jc w:val="left"/>
        <w:rPr>
          <w:rFonts w:ascii="宋体" w:hAnsi="宋体"/>
          <w:sz w:val="24"/>
        </w:rPr>
      </w:pPr>
      <w:r>
        <w:rPr>
          <w:rFonts w:hint="eastAsia" w:ascii="宋体" w:hAnsi="宋体"/>
          <w:sz w:val="24"/>
        </w:rPr>
        <w:t>供需双方在执行合同中发生争议，应通过协商解决。如协商不成，向需方所在地人民法院诉讼解决。</w:t>
      </w:r>
    </w:p>
    <w:p w14:paraId="6EC508B9">
      <w:pPr>
        <w:spacing w:line="360" w:lineRule="auto"/>
        <w:ind w:firstLine="472" w:firstLineChars="196"/>
        <w:jc w:val="left"/>
        <w:rPr>
          <w:rFonts w:ascii="宋体" w:hAnsi="宋体"/>
          <w:b/>
          <w:sz w:val="24"/>
        </w:rPr>
      </w:pPr>
      <w:bookmarkStart w:id="59" w:name="_Toc326248011"/>
      <w:r>
        <w:rPr>
          <w:rFonts w:hint="eastAsia" w:ascii="宋体" w:hAnsi="宋体"/>
          <w:b/>
          <w:sz w:val="24"/>
        </w:rPr>
        <w:t>十四、合同生效及其他</w:t>
      </w:r>
      <w:bookmarkEnd w:id="59"/>
    </w:p>
    <w:p w14:paraId="3281E62C">
      <w:pPr>
        <w:spacing w:line="360" w:lineRule="auto"/>
        <w:ind w:firstLine="470" w:firstLineChars="196"/>
        <w:jc w:val="left"/>
        <w:rPr>
          <w:rFonts w:ascii="宋体" w:hAnsi="宋体"/>
          <w:sz w:val="24"/>
        </w:rPr>
      </w:pPr>
      <w:r>
        <w:rPr>
          <w:rFonts w:hint="eastAsia" w:ascii="宋体" w:hAnsi="宋体"/>
          <w:sz w:val="24"/>
        </w:rPr>
        <w:t>1、合同由供、需双方授权代表签字并加盖公章后生效。</w:t>
      </w:r>
    </w:p>
    <w:p w14:paraId="1D83E13C">
      <w:pPr>
        <w:spacing w:line="360" w:lineRule="auto"/>
        <w:ind w:firstLine="470" w:firstLineChars="196"/>
        <w:jc w:val="left"/>
        <w:rPr>
          <w:rFonts w:ascii="宋体" w:hAnsi="宋体"/>
          <w:sz w:val="24"/>
        </w:rPr>
      </w:pPr>
      <w:r>
        <w:rPr>
          <w:rFonts w:hint="eastAsia" w:ascii="宋体" w:hAnsi="宋体"/>
          <w:sz w:val="24"/>
        </w:rPr>
        <w:t>2、本合同一式肆份。需方贰份，其中壹份由校资产管理部门备案保管，壹份由校财务部门备案保管；供方壹份，采购代理机构存档壹份。</w:t>
      </w:r>
    </w:p>
    <w:p w14:paraId="52803A19">
      <w:pPr>
        <w:spacing w:line="360" w:lineRule="auto"/>
        <w:ind w:firstLine="470" w:firstLineChars="196"/>
        <w:jc w:val="left"/>
        <w:rPr>
          <w:rFonts w:ascii="宋体" w:hAnsi="宋体"/>
          <w:sz w:val="24"/>
        </w:rPr>
      </w:pPr>
      <w:r>
        <w:rPr>
          <w:rFonts w:hint="eastAsia" w:ascii="宋体" w:hAnsi="宋体"/>
          <w:sz w:val="24"/>
        </w:rPr>
        <w:t>3、合同执行过程中出现的未尽事宜，双方在不违背合同和招标文件的前提下协商解决。协商结果以“补充协议”形式作为合同附件，与合同具有同等效力。</w:t>
      </w:r>
    </w:p>
    <w:p w14:paraId="109D26CA">
      <w:pPr>
        <w:spacing w:line="360" w:lineRule="auto"/>
        <w:ind w:firstLine="470" w:firstLineChars="196"/>
        <w:jc w:val="left"/>
        <w:rPr>
          <w:rFonts w:ascii="宋体" w:hAnsi="宋体"/>
          <w:sz w:val="24"/>
        </w:rPr>
      </w:pPr>
      <w:r>
        <w:rPr>
          <w:rFonts w:hint="eastAsia" w:ascii="宋体" w:hAnsi="宋体"/>
          <w:sz w:val="24"/>
        </w:rPr>
        <w:t>4、本合同各方往来函件，必须以书面方式做出，并通过快递、EMS、专人送达、电子邮件的方式向对方送达。双方确认，合同尾部的联系方式与地址为各方函件的送达地址。如合同一方地址或电话号码发生变更，应及时书面通知对方。未及时通知地址变更的，于发出函件后第3日即视为已送达。本条规定适用于诉讼、仲裁过程中法院或仲裁机构向任何一方送达文件。</w:t>
      </w:r>
    </w:p>
    <w:p w14:paraId="7FF1B18D">
      <w:pPr>
        <w:spacing w:line="360" w:lineRule="auto"/>
        <w:ind w:firstLine="472" w:firstLineChars="196"/>
        <w:jc w:val="left"/>
        <w:rPr>
          <w:rFonts w:ascii="宋体" w:hAnsi="宋体"/>
          <w:b/>
          <w:sz w:val="24"/>
        </w:rPr>
      </w:pPr>
      <w:bookmarkStart w:id="60" w:name="_Toc326248012"/>
      <w:r>
        <w:rPr>
          <w:rFonts w:hint="eastAsia" w:ascii="宋体" w:hAnsi="宋体"/>
          <w:b/>
          <w:sz w:val="24"/>
        </w:rPr>
        <w:t>十五、下列文件为本合同不可分割部分</w:t>
      </w:r>
      <w:bookmarkEnd w:id="60"/>
    </w:p>
    <w:p w14:paraId="1AAB3083">
      <w:pPr>
        <w:spacing w:line="360" w:lineRule="auto"/>
        <w:ind w:firstLine="470" w:firstLineChars="196"/>
        <w:jc w:val="left"/>
        <w:rPr>
          <w:rFonts w:ascii="宋体" w:hAnsi="宋体"/>
          <w:sz w:val="24"/>
        </w:rPr>
      </w:pPr>
      <w:r>
        <w:rPr>
          <w:rFonts w:hint="eastAsia" w:ascii="宋体" w:hAnsi="宋体"/>
          <w:sz w:val="24"/>
        </w:rPr>
        <w:t>1、招标文件（</w:t>
      </w:r>
      <w:r>
        <w:rPr>
          <w:rFonts w:ascii="宋体" w:hAnsi="宋体"/>
          <w:sz w:val="24"/>
        </w:rPr>
        <w:t>谈判文件</w:t>
      </w:r>
      <w:r>
        <w:rPr>
          <w:rFonts w:hint="eastAsia" w:ascii="宋体" w:hAnsi="宋体"/>
          <w:sz w:val="24"/>
        </w:rPr>
        <w:t>/磋商</w:t>
      </w:r>
      <w:r>
        <w:rPr>
          <w:rFonts w:ascii="宋体" w:hAnsi="宋体"/>
          <w:sz w:val="24"/>
        </w:rPr>
        <w:t>文件</w:t>
      </w:r>
      <w:r>
        <w:rPr>
          <w:rFonts w:hint="eastAsia" w:ascii="宋体" w:hAnsi="宋体"/>
          <w:sz w:val="24"/>
        </w:rPr>
        <w:t>/询价通知书/单一来源采购</w:t>
      </w:r>
      <w:r>
        <w:rPr>
          <w:rFonts w:ascii="宋体" w:hAnsi="宋体"/>
          <w:sz w:val="24"/>
        </w:rPr>
        <w:t>文件</w:t>
      </w:r>
      <w:r>
        <w:rPr>
          <w:rFonts w:hint="eastAsia" w:ascii="宋体" w:hAnsi="宋体"/>
          <w:sz w:val="24"/>
        </w:rPr>
        <w:t>）</w:t>
      </w:r>
    </w:p>
    <w:p w14:paraId="77F8A38B">
      <w:pPr>
        <w:spacing w:line="360" w:lineRule="auto"/>
        <w:ind w:firstLine="470" w:firstLineChars="196"/>
        <w:jc w:val="left"/>
        <w:rPr>
          <w:rFonts w:ascii="宋体" w:hAnsi="宋体"/>
          <w:sz w:val="24"/>
        </w:rPr>
      </w:pPr>
      <w:r>
        <w:rPr>
          <w:rFonts w:hint="eastAsia" w:ascii="宋体" w:hAnsi="宋体"/>
          <w:sz w:val="24"/>
        </w:rPr>
        <w:t>2、投标文件（响应</w:t>
      </w:r>
      <w:r>
        <w:rPr>
          <w:rFonts w:ascii="宋体" w:hAnsi="宋体"/>
          <w:sz w:val="24"/>
        </w:rPr>
        <w:t>文件</w:t>
      </w:r>
      <w:r>
        <w:rPr>
          <w:rFonts w:hint="eastAsia" w:ascii="宋体" w:hAnsi="宋体"/>
          <w:sz w:val="24"/>
        </w:rPr>
        <w:t>）</w:t>
      </w:r>
    </w:p>
    <w:p w14:paraId="4DF3261A">
      <w:pPr>
        <w:spacing w:line="360" w:lineRule="auto"/>
        <w:ind w:firstLine="470" w:firstLineChars="196"/>
        <w:jc w:val="left"/>
        <w:rPr>
          <w:rFonts w:ascii="宋体" w:hAnsi="宋体"/>
          <w:sz w:val="24"/>
        </w:rPr>
      </w:pPr>
      <w:r>
        <w:rPr>
          <w:rFonts w:hint="eastAsia" w:ascii="宋体" w:hAnsi="宋体"/>
          <w:sz w:val="24"/>
        </w:rPr>
        <w:t>3、中标</w:t>
      </w:r>
      <w:r>
        <w:rPr>
          <w:rFonts w:ascii="宋体" w:hAnsi="宋体"/>
          <w:sz w:val="24"/>
        </w:rPr>
        <w:t>通知书（</w:t>
      </w:r>
      <w:r>
        <w:rPr>
          <w:rFonts w:hint="eastAsia" w:ascii="宋体" w:hAnsi="宋体"/>
          <w:sz w:val="24"/>
        </w:rPr>
        <w:t>成交通知书</w:t>
      </w:r>
      <w:r>
        <w:rPr>
          <w:rFonts w:ascii="宋体" w:hAnsi="宋体"/>
          <w:sz w:val="24"/>
        </w:rPr>
        <w:t>）</w:t>
      </w:r>
    </w:p>
    <w:p w14:paraId="12560793">
      <w:pPr>
        <w:spacing w:line="360" w:lineRule="auto"/>
        <w:ind w:firstLine="470" w:firstLineChars="196"/>
        <w:jc w:val="left"/>
        <w:rPr>
          <w:rFonts w:ascii="宋体" w:hAnsi="宋体"/>
          <w:sz w:val="24"/>
        </w:rPr>
      </w:pPr>
      <w:r>
        <w:rPr>
          <w:rFonts w:hint="eastAsia" w:ascii="宋体" w:hAnsi="宋体"/>
          <w:sz w:val="24"/>
        </w:rPr>
        <w:t>4、合同附件</w:t>
      </w:r>
    </w:p>
    <w:p w14:paraId="2A7083C5">
      <w:pPr>
        <w:spacing w:line="360" w:lineRule="auto"/>
        <w:ind w:firstLine="470" w:firstLineChars="196"/>
        <w:jc w:val="left"/>
        <w:rPr>
          <w:rFonts w:ascii="宋体" w:hAnsi="宋体"/>
          <w:sz w:val="24"/>
        </w:rPr>
      </w:pPr>
      <w:r>
        <w:rPr>
          <w:rFonts w:hint="eastAsia" w:ascii="宋体" w:hAnsi="宋体"/>
          <w:sz w:val="24"/>
        </w:rPr>
        <w:t>5、投标人（供应商）所做的其他承诺</w:t>
      </w:r>
    </w:p>
    <w:p w14:paraId="66FA49F9">
      <w:pPr>
        <w:spacing w:line="360" w:lineRule="auto"/>
        <w:ind w:firstLine="470" w:firstLineChars="196"/>
        <w:jc w:val="left"/>
        <w:rPr>
          <w:rFonts w:ascii="宋体" w:hAnsi="宋体"/>
          <w:sz w:val="24"/>
        </w:rPr>
      </w:pPr>
    </w:p>
    <w:p w14:paraId="61DA6D24">
      <w:pPr>
        <w:spacing w:line="360" w:lineRule="auto"/>
        <w:jc w:val="left"/>
        <w:rPr>
          <w:rFonts w:ascii="宋体" w:hAnsi="宋体"/>
          <w:b/>
          <w:bCs/>
          <w:sz w:val="24"/>
        </w:rPr>
      </w:pPr>
      <w:r>
        <w:rPr>
          <w:rFonts w:hint="eastAsia" w:ascii="宋体" w:hAnsi="宋体"/>
          <w:b/>
          <w:bCs/>
          <w:sz w:val="24"/>
        </w:rPr>
        <w:t xml:space="preserve">需方（章）：                               供方（章）： </w:t>
      </w:r>
    </w:p>
    <w:p w14:paraId="0CE14EA2">
      <w:pPr>
        <w:spacing w:before="100" w:beforeAutospacing="1" w:after="100" w:afterAutospacing="1" w:line="360" w:lineRule="auto"/>
        <w:jc w:val="left"/>
        <w:rPr>
          <w:rFonts w:ascii="宋体" w:hAnsi="宋体"/>
          <w:sz w:val="24"/>
        </w:rPr>
      </w:pPr>
      <w:r>
        <w:rPr>
          <w:rFonts w:hint="eastAsia" w:ascii="宋体" w:hAnsi="宋体"/>
          <w:sz w:val="24"/>
        </w:rPr>
        <w:t>法人代表：                                法人代表：</w:t>
      </w:r>
    </w:p>
    <w:p w14:paraId="6580402B">
      <w:pPr>
        <w:spacing w:before="100" w:beforeAutospacing="1" w:after="100" w:afterAutospacing="1" w:line="360" w:lineRule="auto"/>
        <w:jc w:val="left"/>
        <w:rPr>
          <w:rFonts w:ascii="宋体" w:hAnsi="宋体"/>
          <w:sz w:val="24"/>
        </w:rPr>
      </w:pPr>
      <w:r>
        <w:rPr>
          <w:rFonts w:hint="eastAsia" w:ascii="宋体" w:hAnsi="宋体"/>
          <w:sz w:val="24"/>
        </w:rPr>
        <w:t>委托代理人：                              委托代理人：</w:t>
      </w:r>
    </w:p>
    <w:p w14:paraId="70BCA115">
      <w:pPr>
        <w:spacing w:before="100" w:beforeAutospacing="1" w:line="360" w:lineRule="auto"/>
        <w:jc w:val="left"/>
        <w:rPr>
          <w:rFonts w:ascii="宋体" w:hAnsi="宋体"/>
          <w:sz w:val="24"/>
        </w:rPr>
      </w:pPr>
      <w:r>
        <w:rPr>
          <w:rFonts w:hint="eastAsia" w:ascii="宋体" w:hAnsi="宋体"/>
          <w:sz w:val="24"/>
        </w:rPr>
        <w:t>地址：太原市坞城路92号                   地址：</w:t>
      </w:r>
    </w:p>
    <w:p w14:paraId="632699E8">
      <w:pPr>
        <w:spacing w:before="100" w:beforeAutospacing="1" w:line="360" w:lineRule="auto"/>
        <w:jc w:val="left"/>
        <w:rPr>
          <w:rFonts w:ascii="宋体" w:hAnsi="宋体"/>
          <w:sz w:val="24"/>
        </w:rPr>
      </w:pPr>
      <w:r>
        <w:rPr>
          <w:rFonts w:hint="eastAsia" w:ascii="宋体" w:hAnsi="宋体"/>
          <w:sz w:val="24"/>
        </w:rPr>
        <w:t>电子邮箱：gzccg@sxu.</w:t>
      </w:r>
      <w:r>
        <w:rPr>
          <w:rFonts w:ascii="宋体" w:hAnsi="宋体"/>
          <w:sz w:val="24"/>
        </w:rPr>
        <w:t>edu.cn</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电子邮箱：</w:t>
      </w:r>
    </w:p>
    <w:p w14:paraId="514897FB">
      <w:pPr>
        <w:spacing w:line="360" w:lineRule="auto"/>
        <w:jc w:val="left"/>
        <w:rPr>
          <w:rFonts w:ascii="宋体" w:hAnsi="宋体"/>
          <w:sz w:val="24"/>
        </w:rPr>
      </w:pPr>
      <w:r>
        <w:rPr>
          <w:rFonts w:hint="eastAsia" w:ascii="宋体" w:hAnsi="宋体"/>
          <w:sz w:val="24"/>
        </w:rPr>
        <w:t>电 话：0351-7011255                       电话：</w:t>
      </w:r>
    </w:p>
    <w:p w14:paraId="23CE4925">
      <w:pPr>
        <w:spacing w:line="360" w:lineRule="auto"/>
        <w:jc w:val="left"/>
        <w:rPr>
          <w:rFonts w:ascii="宋体" w:hAnsi="宋体"/>
          <w:sz w:val="24"/>
        </w:rPr>
      </w:pPr>
      <w:r>
        <w:rPr>
          <w:rFonts w:hint="eastAsia" w:ascii="宋体" w:hAnsi="宋体"/>
          <w:sz w:val="24"/>
        </w:rPr>
        <w:t>开户银行：工行大支</w:t>
      </w:r>
      <w:r>
        <w:rPr>
          <w:rFonts w:ascii="宋体" w:hAnsi="宋体"/>
          <w:sz w:val="24"/>
        </w:rPr>
        <w:t>(</w:t>
      </w:r>
      <w:r>
        <w:rPr>
          <w:rFonts w:hint="eastAsia" w:ascii="宋体" w:hAnsi="宋体"/>
          <w:sz w:val="24"/>
        </w:rPr>
        <w:t>大营盘</w:t>
      </w:r>
      <w:r>
        <w:rPr>
          <w:rFonts w:ascii="宋体" w:hAnsi="宋体"/>
          <w:sz w:val="24"/>
        </w:rPr>
        <w:t>)</w:t>
      </w:r>
      <w:r>
        <w:rPr>
          <w:rFonts w:hint="eastAsia" w:ascii="宋体" w:hAnsi="宋体"/>
          <w:sz w:val="24"/>
        </w:rPr>
        <w:t xml:space="preserve">                开户银行：</w:t>
      </w:r>
    </w:p>
    <w:p w14:paraId="5F943DF3">
      <w:pPr>
        <w:spacing w:line="360" w:lineRule="auto"/>
        <w:jc w:val="left"/>
        <w:rPr>
          <w:rFonts w:ascii="宋体" w:hAnsi="宋体"/>
          <w:sz w:val="24"/>
        </w:rPr>
      </w:pPr>
      <w:r>
        <w:rPr>
          <w:rFonts w:hint="eastAsia" w:ascii="宋体" w:hAnsi="宋体"/>
          <w:sz w:val="24"/>
        </w:rPr>
        <w:t>银行账号：</w:t>
      </w:r>
      <w:r>
        <w:rPr>
          <w:rFonts w:ascii="宋体" w:hAnsi="宋体"/>
          <w:sz w:val="24"/>
        </w:rPr>
        <w:t>0502121809026401995</w:t>
      </w:r>
      <w:r>
        <w:rPr>
          <w:rFonts w:hint="eastAsia" w:ascii="宋体" w:hAnsi="宋体"/>
          <w:sz w:val="24"/>
        </w:rPr>
        <w:t xml:space="preserve">             银行账号：</w:t>
      </w:r>
    </w:p>
    <w:p w14:paraId="505B2AB8">
      <w:pPr>
        <w:spacing w:line="360" w:lineRule="auto"/>
        <w:jc w:val="left"/>
        <w:rPr>
          <w:rFonts w:ascii="宋体" w:hAnsi="宋体"/>
          <w:sz w:val="24"/>
        </w:rPr>
      </w:pPr>
      <w:r>
        <w:rPr>
          <w:rFonts w:hint="eastAsia" w:ascii="宋体" w:hAnsi="宋体"/>
          <w:sz w:val="24"/>
        </w:rPr>
        <w:t>日期：   年    月    日                 日期：   年    月    日</w:t>
      </w:r>
    </w:p>
    <w:p w14:paraId="3720D598">
      <w:pPr>
        <w:widowControl/>
        <w:jc w:val="left"/>
        <w:rPr>
          <w:rFonts w:ascii="宋体" w:hAnsi="宋体"/>
          <w:sz w:val="24"/>
        </w:rPr>
      </w:pPr>
      <w:r>
        <w:rPr>
          <w:rFonts w:ascii="宋体" w:hAnsi="宋体"/>
          <w:sz w:val="24"/>
        </w:rPr>
        <w:br w:type="page"/>
      </w:r>
    </w:p>
    <w:p w14:paraId="44148D56">
      <w:pPr>
        <w:spacing w:line="360" w:lineRule="auto"/>
        <w:jc w:val="left"/>
        <w:rPr>
          <w:rFonts w:ascii="宋体" w:hAnsi="宋体"/>
          <w:sz w:val="24"/>
        </w:rPr>
      </w:pPr>
      <w:r>
        <w:rPr>
          <w:rFonts w:hint="eastAsia" w:ascii="宋体" w:hAnsi="宋体"/>
          <w:sz w:val="24"/>
        </w:rPr>
        <w:t>附件一：</w:t>
      </w:r>
    </w:p>
    <w:p w14:paraId="38B58BAD">
      <w:pPr>
        <w:spacing w:line="360" w:lineRule="auto"/>
        <w:ind w:firstLine="120" w:firstLineChars="50"/>
        <w:jc w:val="center"/>
        <w:rPr>
          <w:rFonts w:ascii="宋体" w:hAnsi="宋体"/>
          <w:b/>
          <w:sz w:val="24"/>
        </w:rPr>
      </w:pPr>
      <w:r>
        <w:rPr>
          <w:rFonts w:hint="eastAsia" w:ascii="宋体" w:hAnsi="宋体"/>
          <w:b/>
          <w:sz w:val="24"/>
        </w:rPr>
        <w:t>采购</w:t>
      </w:r>
      <w:r>
        <w:rPr>
          <w:rFonts w:ascii="宋体" w:hAnsi="宋体"/>
          <w:b/>
          <w:sz w:val="24"/>
        </w:rPr>
        <w:t>货物清单</w:t>
      </w:r>
    </w:p>
    <w:tbl>
      <w:tblPr>
        <w:tblStyle w:val="20"/>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04"/>
        <w:gridCol w:w="936"/>
        <w:gridCol w:w="762"/>
        <w:gridCol w:w="699"/>
        <w:gridCol w:w="990"/>
        <w:gridCol w:w="836"/>
        <w:gridCol w:w="837"/>
        <w:gridCol w:w="1326"/>
        <w:gridCol w:w="894"/>
      </w:tblGrid>
      <w:tr w14:paraId="298D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66F4ED5A">
            <w:pPr>
              <w:spacing w:line="360" w:lineRule="auto"/>
              <w:jc w:val="center"/>
              <w:rPr>
                <w:rFonts w:ascii="宋体" w:hAnsi="宋体"/>
                <w:sz w:val="24"/>
              </w:rPr>
            </w:pPr>
            <w:r>
              <w:rPr>
                <w:rFonts w:hint="eastAsia" w:ascii="宋体" w:hAnsi="宋体"/>
                <w:sz w:val="24"/>
              </w:rPr>
              <w:t>序号</w:t>
            </w:r>
          </w:p>
        </w:tc>
        <w:tc>
          <w:tcPr>
            <w:tcW w:w="1204" w:type="dxa"/>
            <w:noWrap w:val="0"/>
            <w:vAlign w:val="center"/>
          </w:tcPr>
          <w:p w14:paraId="2A464E79">
            <w:pPr>
              <w:spacing w:line="360" w:lineRule="auto"/>
              <w:jc w:val="center"/>
              <w:rPr>
                <w:rFonts w:ascii="宋体" w:hAnsi="宋体"/>
                <w:sz w:val="24"/>
              </w:rPr>
            </w:pPr>
            <w:r>
              <w:rPr>
                <w:rFonts w:hint="eastAsia" w:ascii="宋体" w:hAnsi="宋体"/>
                <w:sz w:val="24"/>
              </w:rPr>
              <w:t>货物</w:t>
            </w:r>
            <w:r>
              <w:rPr>
                <w:rFonts w:ascii="宋体" w:hAnsi="宋体"/>
                <w:sz w:val="24"/>
              </w:rPr>
              <w:t>名称</w:t>
            </w:r>
          </w:p>
        </w:tc>
        <w:tc>
          <w:tcPr>
            <w:tcW w:w="936" w:type="dxa"/>
            <w:noWrap w:val="0"/>
            <w:vAlign w:val="top"/>
          </w:tcPr>
          <w:p w14:paraId="7CB73DE2">
            <w:pPr>
              <w:spacing w:line="360" w:lineRule="auto"/>
              <w:jc w:val="center"/>
              <w:rPr>
                <w:rFonts w:ascii="宋体" w:hAnsi="宋体"/>
                <w:sz w:val="24"/>
              </w:rPr>
            </w:pPr>
            <w:r>
              <w:rPr>
                <w:rFonts w:hint="eastAsia" w:ascii="宋体" w:hAnsi="宋体"/>
                <w:sz w:val="24"/>
              </w:rPr>
              <w:t>单价</w:t>
            </w:r>
            <w:r>
              <w:rPr>
                <w:rFonts w:ascii="宋体" w:hAnsi="宋体"/>
                <w:sz w:val="24"/>
              </w:rPr>
              <w:t>（</w:t>
            </w:r>
            <w:r>
              <w:rPr>
                <w:rFonts w:hint="eastAsia" w:ascii="宋体" w:hAnsi="宋体"/>
                <w:sz w:val="24"/>
              </w:rPr>
              <w:t>元</w:t>
            </w:r>
            <w:r>
              <w:rPr>
                <w:rFonts w:ascii="宋体" w:hAnsi="宋体"/>
                <w:sz w:val="24"/>
              </w:rPr>
              <w:t>）</w:t>
            </w:r>
          </w:p>
        </w:tc>
        <w:tc>
          <w:tcPr>
            <w:tcW w:w="762" w:type="dxa"/>
            <w:noWrap w:val="0"/>
            <w:vAlign w:val="center"/>
          </w:tcPr>
          <w:p w14:paraId="00847464">
            <w:pPr>
              <w:spacing w:line="360" w:lineRule="auto"/>
              <w:jc w:val="center"/>
              <w:rPr>
                <w:rFonts w:ascii="宋体" w:hAnsi="宋体"/>
                <w:sz w:val="24"/>
              </w:rPr>
            </w:pPr>
            <w:r>
              <w:rPr>
                <w:rFonts w:hint="eastAsia" w:ascii="宋体" w:hAnsi="宋体"/>
                <w:sz w:val="24"/>
              </w:rPr>
              <w:t>数量</w:t>
            </w:r>
          </w:p>
        </w:tc>
        <w:tc>
          <w:tcPr>
            <w:tcW w:w="699" w:type="dxa"/>
            <w:noWrap w:val="0"/>
            <w:vAlign w:val="center"/>
          </w:tcPr>
          <w:p w14:paraId="7E7691EE">
            <w:pPr>
              <w:spacing w:line="360" w:lineRule="auto"/>
              <w:jc w:val="center"/>
              <w:rPr>
                <w:rFonts w:ascii="宋体" w:hAnsi="宋体"/>
                <w:sz w:val="24"/>
              </w:rPr>
            </w:pPr>
            <w:r>
              <w:rPr>
                <w:rFonts w:hint="eastAsia" w:ascii="宋体" w:hAnsi="宋体"/>
                <w:sz w:val="24"/>
              </w:rPr>
              <w:t>单位</w:t>
            </w:r>
          </w:p>
        </w:tc>
        <w:tc>
          <w:tcPr>
            <w:tcW w:w="990" w:type="dxa"/>
            <w:noWrap w:val="0"/>
            <w:vAlign w:val="center"/>
          </w:tcPr>
          <w:p w14:paraId="77667507">
            <w:pPr>
              <w:spacing w:line="360" w:lineRule="auto"/>
              <w:jc w:val="center"/>
              <w:rPr>
                <w:rFonts w:ascii="宋体" w:hAnsi="宋体"/>
                <w:sz w:val="24"/>
              </w:rPr>
            </w:pPr>
            <w:r>
              <w:rPr>
                <w:rFonts w:hint="eastAsia" w:ascii="宋体" w:hAnsi="宋体"/>
                <w:sz w:val="24"/>
              </w:rPr>
              <w:t>合价（元）</w:t>
            </w:r>
          </w:p>
        </w:tc>
        <w:tc>
          <w:tcPr>
            <w:tcW w:w="836" w:type="dxa"/>
            <w:noWrap w:val="0"/>
            <w:vAlign w:val="center"/>
          </w:tcPr>
          <w:p w14:paraId="67651CDB">
            <w:pPr>
              <w:spacing w:line="360" w:lineRule="auto"/>
              <w:jc w:val="center"/>
              <w:rPr>
                <w:rFonts w:ascii="宋体" w:hAnsi="宋体"/>
                <w:sz w:val="24"/>
              </w:rPr>
            </w:pPr>
            <w:r>
              <w:rPr>
                <w:rFonts w:hint="eastAsia" w:ascii="宋体" w:hAnsi="宋体"/>
                <w:sz w:val="24"/>
              </w:rPr>
              <w:t>品牌</w:t>
            </w:r>
          </w:p>
        </w:tc>
        <w:tc>
          <w:tcPr>
            <w:tcW w:w="837" w:type="dxa"/>
            <w:noWrap w:val="0"/>
            <w:vAlign w:val="center"/>
          </w:tcPr>
          <w:p w14:paraId="158256BF">
            <w:pPr>
              <w:spacing w:line="360" w:lineRule="auto"/>
              <w:jc w:val="center"/>
              <w:rPr>
                <w:rFonts w:ascii="宋体" w:hAnsi="宋体"/>
                <w:sz w:val="24"/>
              </w:rPr>
            </w:pPr>
            <w:r>
              <w:rPr>
                <w:rFonts w:hint="eastAsia" w:ascii="宋体" w:hAnsi="宋体"/>
                <w:sz w:val="24"/>
              </w:rPr>
              <w:t>规格</w:t>
            </w:r>
            <w:r>
              <w:rPr>
                <w:rFonts w:ascii="宋体" w:hAnsi="宋体"/>
                <w:sz w:val="24"/>
              </w:rPr>
              <w:t>型号</w:t>
            </w:r>
          </w:p>
        </w:tc>
        <w:tc>
          <w:tcPr>
            <w:tcW w:w="1326" w:type="dxa"/>
            <w:noWrap w:val="0"/>
            <w:vAlign w:val="center"/>
          </w:tcPr>
          <w:p w14:paraId="57D1D8C6">
            <w:pPr>
              <w:spacing w:line="360" w:lineRule="auto"/>
              <w:jc w:val="center"/>
              <w:rPr>
                <w:rFonts w:ascii="宋体" w:hAnsi="宋体"/>
                <w:sz w:val="24"/>
              </w:rPr>
            </w:pPr>
            <w:r>
              <w:rPr>
                <w:rFonts w:hint="eastAsia" w:ascii="宋体" w:hAnsi="宋体"/>
                <w:sz w:val="24"/>
              </w:rPr>
              <w:t>生产</w:t>
            </w:r>
            <w:r>
              <w:rPr>
                <w:rFonts w:ascii="宋体" w:hAnsi="宋体"/>
                <w:sz w:val="24"/>
              </w:rPr>
              <w:t>厂家</w:t>
            </w:r>
          </w:p>
        </w:tc>
        <w:tc>
          <w:tcPr>
            <w:tcW w:w="894" w:type="dxa"/>
            <w:noWrap w:val="0"/>
            <w:vAlign w:val="center"/>
          </w:tcPr>
          <w:p w14:paraId="47E8B06D">
            <w:pPr>
              <w:spacing w:line="360" w:lineRule="auto"/>
              <w:jc w:val="center"/>
              <w:rPr>
                <w:rFonts w:ascii="宋体" w:hAnsi="宋体"/>
                <w:sz w:val="24"/>
              </w:rPr>
            </w:pPr>
            <w:r>
              <w:rPr>
                <w:rFonts w:hint="eastAsia" w:ascii="宋体" w:hAnsi="宋体"/>
                <w:sz w:val="24"/>
              </w:rPr>
              <w:t>产地</w:t>
            </w:r>
          </w:p>
        </w:tc>
      </w:tr>
      <w:tr w14:paraId="2B15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7B6FFC58">
            <w:pPr>
              <w:spacing w:line="360" w:lineRule="auto"/>
              <w:jc w:val="center"/>
              <w:rPr>
                <w:rFonts w:ascii="宋体" w:hAnsi="宋体"/>
                <w:sz w:val="24"/>
              </w:rPr>
            </w:pPr>
            <w:r>
              <w:rPr>
                <w:rFonts w:hint="eastAsia" w:ascii="宋体" w:hAnsi="宋体"/>
                <w:sz w:val="24"/>
              </w:rPr>
              <w:t>1</w:t>
            </w:r>
          </w:p>
        </w:tc>
        <w:tc>
          <w:tcPr>
            <w:tcW w:w="1204" w:type="dxa"/>
            <w:noWrap w:val="0"/>
            <w:vAlign w:val="top"/>
          </w:tcPr>
          <w:p w14:paraId="603E9942">
            <w:pPr>
              <w:spacing w:line="360" w:lineRule="auto"/>
              <w:jc w:val="left"/>
              <w:rPr>
                <w:rFonts w:ascii="宋体" w:hAnsi="宋体"/>
                <w:sz w:val="24"/>
              </w:rPr>
            </w:pPr>
          </w:p>
        </w:tc>
        <w:tc>
          <w:tcPr>
            <w:tcW w:w="936" w:type="dxa"/>
            <w:noWrap w:val="0"/>
            <w:vAlign w:val="top"/>
          </w:tcPr>
          <w:p w14:paraId="2E80AF33">
            <w:pPr>
              <w:spacing w:line="360" w:lineRule="auto"/>
              <w:jc w:val="left"/>
              <w:rPr>
                <w:rFonts w:ascii="宋体" w:hAnsi="宋体"/>
                <w:sz w:val="24"/>
              </w:rPr>
            </w:pPr>
          </w:p>
        </w:tc>
        <w:tc>
          <w:tcPr>
            <w:tcW w:w="762" w:type="dxa"/>
            <w:noWrap w:val="0"/>
            <w:vAlign w:val="top"/>
          </w:tcPr>
          <w:p w14:paraId="23A862BB">
            <w:pPr>
              <w:spacing w:line="360" w:lineRule="auto"/>
              <w:jc w:val="left"/>
              <w:rPr>
                <w:rFonts w:ascii="宋体" w:hAnsi="宋体"/>
                <w:sz w:val="24"/>
              </w:rPr>
            </w:pPr>
          </w:p>
        </w:tc>
        <w:tc>
          <w:tcPr>
            <w:tcW w:w="699" w:type="dxa"/>
            <w:noWrap w:val="0"/>
            <w:vAlign w:val="top"/>
          </w:tcPr>
          <w:p w14:paraId="2ACD4926">
            <w:pPr>
              <w:spacing w:line="360" w:lineRule="auto"/>
              <w:jc w:val="left"/>
              <w:rPr>
                <w:rFonts w:ascii="宋体" w:hAnsi="宋体"/>
                <w:sz w:val="24"/>
              </w:rPr>
            </w:pPr>
          </w:p>
        </w:tc>
        <w:tc>
          <w:tcPr>
            <w:tcW w:w="990" w:type="dxa"/>
            <w:noWrap w:val="0"/>
            <w:vAlign w:val="top"/>
          </w:tcPr>
          <w:p w14:paraId="48A4DEA3">
            <w:pPr>
              <w:spacing w:line="360" w:lineRule="auto"/>
              <w:jc w:val="left"/>
              <w:rPr>
                <w:rFonts w:ascii="宋体" w:hAnsi="宋体"/>
                <w:sz w:val="24"/>
              </w:rPr>
            </w:pPr>
          </w:p>
        </w:tc>
        <w:tc>
          <w:tcPr>
            <w:tcW w:w="836" w:type="dxa"/>
            <w:noWrap w:val="0"/>
            <w:vAlign w:val="top"/>
          </w:tcPr>
          <w:p w14:paraId="57461C35">
            <w:pPr>
              <w:spacing w:line="360" w:lineRule="auto"/>
              <w:jc w:val="left"/>
              <w:rPr>
                <w:rFonts w:ascii="宋体" w:hAnsi="宋体"/>
                <w:sz w:val="24"/>
              </w:rPr>
            </w:pPr>
          </w:p>
        </w:tc>
        <w:tc>
          <w:tcPr>
            <w:tcW w:w="837" w:type="dxa"/>
            <w:noWrap w:val="0"/>
            <w:vAlign w:val="top"/>
          </w:tcPr>
          <w:p w14:paraId="4CAADE26">
            <w:pPr>
              <w:spacing w:line="360" w:lineRule="auto"/>
              <w:jc w:val="left"/>
              <w:rPr>
                <w:rFonts w:ascii="宋体" w:hAnsi="宋体"/>
                <w:sz w:val="24"/>
              </w:rPr>
            </w:pPr>
          </w:p>
        </w:tc>
        <w:tc>
          <w:tcPr>
            <w:tcW w:w="1326" w:type="dxa"/>
            <w:noWrap w:val="0"/>
            <w:vAlign w:val="top"/>
          </w:tcPr>
          <w:p w14:paraId="6380679A">
            <w:pPr>
              <w:spacing w:line="360" w:lineRule="auto"/>
              <w:jc w:val="left"/>
              <w:rPr>
                <w:rFonts w:ascii="宋体" w:hAnsi="宋体"/>
                <w:sz w:val="24"/>
              </w:rPr>
            </w:pPr>
          </w:p>
        </w:tc>
        <w:tc>
          <w:tcPr>
            <w:tcW w:w="894" w:type="dxa"/>
            <w:noWrap w:val="0"/>
            <w:vAlign w:val="top"/>
          </w:tcPr>
          <w:p w14:paraId="3DD9BDDF">
            <w:pPr>
              <w:spacing w:line="360" w:lineRule="auto"/>
              <w:jc w:val="left"/>
              <w:rPr>
                <w:rFonts w:ascii="宋体" w:hAnsi="宋体"/>
                <w:sz w:val="24"/>
              </w:rPr>
            </w:pPr>
          </w:p>
        </w:tc>
      </w:tr>
      <w:tr w14:paraId="18CC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2D2240A7">
            <w:pPr>
              <w:spacing w:line="360" w:lineRule="auto"/>
              <w:jc w:val="center"/>
              <w:rPr>
                <w:rFonts w:ascii="宋体" w:hAnsi="宋体"/>
                <w:sz w:val="24"/>
              </w:rPr>
            </w:pPr>
            <w:r>
              <w:rPr>
                <w:rFonts w:hint="eastAsia" w:ascii="宋体" w:hAnsi="宋体"/>
                <w:sz w:val="24"/>
              </w:rPr>
              <w:t>2</w:t>
            </w:r>
          </w:p>
        </w:tc>
        <w:tc>
          <w:tcPr>
            <w:tcW w:w="1204" w:type="dxa"/>
            <w:noWrap w:val="0"/>
            <w:vAlign w:val="top"/>
          </w:tcPr>
          <w:p w14:paraId="495EF3E4">
            <w:pPr>
              <w:spacing w:line="360" w:lineRule="auto"/>
              <w:jc w:val="left"/>
              <w:rPr>
                <w:rFonts w:ascii="宋体" w:hAnsi="宋体"/>
                <w:sz w:val="24"/>
              </w:rPr>
            </w:pPr>
          </w:p>
        </w:tc>
        <w:tc>
          <w:tcPr>
            <w:tcW w:w="936" w:type="dxa"/>
            <w:noWrap w:val="0"/>
            <w:vAlign w:val="top"/>
          </w:tcPr>
          <w:p w14:paraId="115B0CD2">
            <w:pPr>
              <w:spacing w:line="360" w:lineRule="auto"/>
              <w:jc w:val="left"/>
              <w:rPr>
                <w:rFonts w:ascii="宋体" w:hAnsi="宋体"/>
                <w:sz w:val="24"/>
              </w:rPr>
            </w:pPr>
          </w:p>
        </w:tc>
        <w:tc>
          <w:tcPr>
            <w:tcW w:w="762" w:type="dxa"/>
            <w:noWrap w:val="0"/>
            <w:vAlign w:val="top"/>
          </w:tcPr>
          <w:p w14:paraId="2D5E1EAC">
            <w:pPr>
              <w:spacing w:line="360" w:lineRule="auto"/>
              <w:jc w:val="left"/>
              <w:rPr>
                <w:rFonts w:ascii="宋体" w:hAnsi="宋体"/>
                <w:sz w:val="24"/>
              </w:rPr>
            </w:pPr>
          </w:p>
        </w:tc>
        <w:tc>
          <w:tcPr>
            <w:tcW w:w="699" w:type="dxa"/>
            <w:noWrap w:val="0"/>
            <w:vAlign w:val="top"/>
          </w:tcPr>
          <w:p w14:paraId="7B0530CA">
            <w:pPr>
              <w:spacing w:line="360" w:lineRule="auto"/>
              <w:jc w:val="left"/>
              <w:rPr>
                <w:rFonts w:ascii="宋体" w:hAnsi="宋体"/>
                <w:sz w:val="24"/>
              </w:rPr>
            </w:pPr>
          </w:p>
        </w:tc>
        <w:tc>
          <w:tcPr>
            <w:tcW w:w="990" w:type="dxa"/>
            <w:noWrap w:val="0"/>
            <w:vAlign w:val="top"/>
          </w:tcPr>
          <w:p w14:paraId="14F59BE7">
            <w:pPr>
              <w:spacing w:line="360" w:lineRule="auto"/>
              <w:jc w:val="left"/>
              <w:rPr>
                <w:rFonts w:ascii="宋体" w:hAnsi="宋体"/>
                <w:sz w:val="24"/>
              </w:rPr>
            </w:pPr>
          </w:p>
        </w:tc>
        <w:tc>
          <w:tcPr>
            <w:tcW w:w="836" w:type="dxa"/>
            <w:noWrap w:val="0"/>
            <w:vAlign w:val="top"/>
          </w:tcPr>
          <w:p w14:paraId="06029874">
            <w:pPr>
              <w:spacing w:line="360" w:lineRule="auto"/>
              <w:jc w:val="left"/>
              <w:rPr>
                <w:rFonts w:ascii="宋体" w:hAnsi="宋体"/>
                <w:sz w:val="24"/>
              </w:rPr>
            </w:pPr>
          </w:p>
        </w:tc>
        <w:tc>
          <w:tcPr>
            <w:tcW w:w="837" w:type="dxa"/>
            <w:noWrap w:val="0"/>
            <w:vAlign w:val="top"/>
          </w:tcPr>
          <w:p w14:paraId="3EEFC1F5">
            <w:pPr>
              <w:spacing w:line="360" w:lineRule="auto"/>
              <w:jc w:val="left"/>
              <w:rPr>
                <w:rFonts w:ascii="宋体" w:hAnsi="宋体"/>
                <w:sz w:val="24"/>
              </w:rPr>
            </w:pPr>
          </w:p>
        </w:tc>
        <w:tc>
          <w:tcPr>
            <w:tcW w:w="1326" w:type="dxa"/>
            <w:noWrap w:val="0"/>
            <w:vAlign w:val="top"/>
          </w:tcPr>
          <w:p w14:paraId="3C238AEE">
            <w:pPr>
              <w:spacing w:line="360" w:lineRule="auto"/>
              <w:jc w:val="left"/>
              <w:rPr>
                <w:rFonts w:ascii="宋体" w:hAnsi="宋体"/>
                <w:sz w:val="24"/>
              </w:rPr>
            </w:pPr>
          </w:p>
        </w:tc>
        <w:tc>
          <w:tcPr>
            <w:tcW w:w="894" w:type="dxa"/>
            <w:noWrap w:val="0"/>
            <w:vAlign w:val="top"/>
          </w:tcPr>
          <w:p w14:paraId="2BAEFB1F">
            <w:pPr>
              <w:spacing w:line="360" w:lineRule="auto"/>
              <w:jc w:val="left"/>
              <w:rPr>
                <w:rFonts w:ascii="宋体" w:hAnsi="宋体"/>
                <w:sz w:val="24"/>
              </w:rPr>
            </w:pPr>
          </w:p>
        </w:tc>
      </w:tr>
      <w:tr w14:paraId="048B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5F60F56E">
            <w:pPr>
              <w:spacing w:line="360" w:lineRule="auto"/>
              <w:jc w:val="center"/>
              <w:rPr>
                <w:rFonts w:ascii="宋体" w:hAnsi="宋体"/>
                <w:sz w:val="24"/>
              </w:rPr>
            </w:pPr>
            <w:r>
              <w:rPr>
                <w:rFonts w:hint="eastAsia" w:ascii="宋体" w:hAnsi="宋体"/>
                <w:sz w:val="24"/>
              </w:rPr>
              <w:t>3</w:t>
            </w:r>
          </w:p>
        </w:tc>
        <w:tc>
          <w:tcPr>
            <w:tcW w:w="1204" w:type="dxa"/>
            <w:noWrap w:val="0"/>
            <w:vAlign w:val="top"/>
          </w:tcPr>
          <w:p w14:paraId="70E5B23E">
            <w:pPr>
              <w:spacing w:line="360" w:lineRule="auto"/>
              <w:jc w:val="left"/>
              <w:rPr>
                <w:rFonts w:ascii="宋体" w:hAnsi="宋体"/>
                <w:sz w:val="24"/>
              </w:rPr>
            </w:pPr>
          </w:p>
        </w:tc>
        <w:tc>
          <w:tcPr>
            <w:tcW w:w="936" w:type="dxa"/>
            <w:noWrap w:val="0"/>
            <w:vAlign w:val="top"/>
          </w:tcPr>
          <w:p w14:paraId="155ABE66">
            <w:pPr>
              <w:spacing w:line="360" w:lineRule="auto"/>
              <w:jc w:val="left"/>
              <w:rPr>
                <w:rFonts w:ascii="宋体" w:hAnsi="宋体"/>
                <w:sz w:val="24"/>
              </w:rPr>
            </w:pPr>
          </w:p>
        </w:tc>
        <w:tc>
          <w:tcPr>
            <w:tcW w:w="762" w:type="dxa"/>
            <w:noWrap w:val="0"/>
            <w:vAlign w:val="top"/>
          </w:tcPr>
          <w:p w14:paraId="5F022911">
            <w:pPr>
              <w:spacing w:line="360" w:lineRule="auto"/>
              <w:jc w:val="left"/>
              <w:rPr>
                <w:rFonts w:ascii="宋体" w:hAnsi="宋体"/>
                <w:sz w:val="24"/>
              </w:rPr>
            </w:pPr>
          </w:p>
        </w:tc>
        <w:tc>
          <w:tcPr>
            <w:tcW w:w="699" w:type="dxa"/>
            <w:noWrap w:val="0"/>
            <w:vAlign w:val="top"/>
          </w:tcPr>
          <w:p w14:paraId="62A6BAE6">
            <w:pPr>
              <w:spacing w:line="360" w:lineRule="auto"/>
              <w:jc w:val="left"/>
              <w:rPr>
                <w:rFonts w:ascii="宋体" w:hAnsi="宋体"/>
                <w:sz w:val="24"/>
              </w:rPr>
            </w:pPr>
          </w:p>
        </w:tc>
        <w:tc>
          <w:tcPr>
            <w:tcW w:w="990" w:type="dxa"/>
            <w:noWrap w:val="0"/>
            <w:vAlign w:val="top"/>
          </w:tcPr>
          <w:p w14:paraId="26B5BA9C">
            <w:pPr>
              <w:spacing w:line="360" w:lineRule="auto"/>
              <w:jc w:val="left"/>
              <w:rPr>
                <w:rFonts w:ascii="宋体" w:hAnsi="宋体"/>
                <w:sz w:val="24"/>
              </w:rPr>
            </w:pPr>
          </w:p>
        </w:tc>
        <w:tc>
          <w:tcPr>
            <w:tcW w:w="836" w:type="dxa"/>
            <w:noWrap w:val="0"/>
            <w:vAlign w:val="top"/>
          </w:tcPr>
          <w:p w14:paraId="48FA01A6">
            <w:pPr>
              <w:spacing w:line="360" w:lineRule="auto"/>
              <w:jc w:val="left"/>
              <w:rPr>
                <w:rFonts w:ascii="宋体" w:hAnsi="宋体"/>
                <w:sz w:val="24"/>
              </w:rPr>
            </w:pPr>
          </w:p>
        </w:tc>
        <w:tc>
          <w:tcPr>
            <w:tcW w:w="837" w:type="dxa"/>
            <w:noWrap w:val="0"/>
            <w:vAlign w:val="top"/>
          </w:tcPr>
          <w:p w14:paraId="4118BB88">
            <w:pPr>
              <w:spacing w:line="360" w:lineRule="auto"/>
              <w:jc w:val="left"/>
              <w:rPr>
                <w:rFonts w:ascii="宋体" w:hAnsi="宋体"/>
                <w:sz w:val="24"/>
              </w:rPr>
            </w:pPr>
          </w:p>
        </w:tc>
        <w:tc>
          <w:tcPr>
            <w:tcW w:w="1326" w:type="dxa"/>
            <w:noWrap w:val="0"/>
            <w:vAlign w:val="top"/>
          </w:tcPr>
          <w:p w14:paraId="4EB06C21">
            <w:pPr>
              <w:spacing w:line="360" w:lineRule="auto"/>
              <w:jc w:val="left"/>
              <w:rPr>
                <w:rFonts w:ascii="宋体" w:hAnsi="宋体"/>
                <w:sz w:val="24"/>
              </w:rPr>
            </w:pPr>
          </w:p>
        </w:tc>
        <w:tc>
          <w:tcPr>
            <w:tcW w:w="894" w:type="dxa"/>
            <w:noWrap w:val="0"/>
            <w:vAlign w:val="top"/>
          </w:tcPr>
          <w:p w14:paraId="0A346AD5">
            <w:pPr>
              <w:spacing w:line="360" w:lineRule="auto"/>
              <w:jc w:val="left"/>
              <w:rPr>
                <w:rFonts w:ascii="宋体" w:hAnsi="宋体"/>
                <w:sz w:val="24"/>
              </w:rPr>
            </w:pPr>
          </w:p>
        </w:tc>
      </w:tr>
      <w:tr w14:paraId="791B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0BE3335F">
            <w:pPr>
              <w:spacing w:line="360" w:lineRule="auto"/>
              <w:jc w:val="center"/>
              <w:rPr>
                <w:rFonts w:ascii="宋体" w:hAnsi="宋体"/>
                <w:sz w:val="24"/>
              </w:rPr>
            </w:pPr>
            <w:r>
              <w:rPr>
                <w:rFonts w:hint="eastAsia" w:ascii="宋体" w:hAnsi="宋体"/>
                <w:sz w:val="24"/>
              </w:rPr>
              <w:t>4</w:t>
            </w:r>
          </w:p>
        </w:tc>
        <w:tc>
          <w:tcPr>
            <w:tcW w:w="1204" w:type="dxa"/>
            <w:noWrap w:val="0"/>
            <w:vAlign w:val="top"/>
          </w:tcPr>
          <w:p w14:paraId="6E40B97C">
            <w:pPr>
              <w:spacing w:line="360" w:lineRule="auto"/>
              <w:jc w:val="left"/>
              <w:rPr>
                <w:rFonts w:ascii="宋体" w:hAnsi="宋体"/>
                <w:sz w:val="24"/>
              </w:rPr>
            </w:pPr>
          </w:p>
        </w:tc>
        <w:tc>
          <w:tcPr>
            <w:tcW w:w="936" w:type="dxa"/>
            <w:noWrap w:val="0"/>
            <w:vAlign w:val="top"/>
          </w:tcPr>
          <w:p w14:paraId="067DBDC2">
            <w:pPr>
              <w:spacing w:line="360" w:lineRule="auto"/>
              <w:jc w:val="left"/>
              <w:rPr>
                <w:rFonts w:ascii="宋体" w:hAnsi="宋体"/>
                <w:sz w:val="24"/>
              </w:rPr>
            </w:pPr>
          </w:p>
        </w:tc>
        <w:tc>
          <w:tcPr>
            <w:tcW w:w="762" w:type="dxa"/>
            <w:noWrap w:val="0"/>
            <w:vAlign w:val="top"/>
          </w:tcPr>
          <w:p w14:paraId="41496AA6">
            <w:pPr>
              <w:spacing w:line="360" w:lineRule="auto"/>
              <w:jc w:val="left"/>
              <w:rPr>
                <w:rFonts w:ascii="宋体" w:hAnsi="宋体"/>
                <w:sz w:val="24"/>
              </w:rPr>
            </w:pPr>
          </w:p>
        </w:tc>
        <w:tc>
          <w:tcPr>
            <w:tcW w:w="699" w:type="dxa"/>
            <w:noWrap w:val="0"/>
            <w:vAlign w:val="top"/>
          </w:tcPr>
          <w:p w14:paraId="434519AA">
            <w:pPr>
              <w:spacing w:line="360" w:lineRule="auto"/>
              <w:jc w:val="left"/>
              <w:rPr>
                <w:rFonts w:ascii="宋体" w:hAnsi="宋体"/>
                <w:sz w:val="24"/>
              </w:rPr>
            </w:pPr>
          </w:p>
        </w:tc>
        <w:tc>
          <w:tcPr>
            <w:tcW w:w="990" w:type="dxa"/>
            <w:noWrap w:val="0"/>
            <w:vAlign w:val="top"/>
          </w:tcPr>
          <w:p w14:paraId="0148B52E">
            <w:pPr>
              <w:spacing w:line="360" w:lineRule="auto"/>
              <w:jc w:val="left"/>
              <w:rPr>
                <w:rFonts w:ascii="宋体" w:hAnsi="宋体"/>
                <w:sz w:val="24"/>
              </w:rPr>
            </w:pPr>
          </w:p>
        </w:tc>
        <w:tc>
          <w:tcPr>
            <w:tcW w:w="836" w:type="dxa"/>
            <w:noWrap w:val="0"/>
            <w:vAlign w:val="top"/>
          </w:tcPr>
          <w:p w14:paraId="4D88CD88">
            <w:pPr>
              <w:spacing w:line="360" w:lineRule="auto"/>
              <w:jc w:val="left"/>
              <w:rPr>
                <w:rFonts w:ascii="宋体" w:hAnsi="宋体"/>
                <w:sz w:val="24"/>
              </w:rPr>
            </w:pPr>
          </w:p>
        </w:tc>
        <w:tc>
          <w:tcPr>
            <w:tcW w:w="837" w:type="dxa"/>
            <w:noWrap w:val="0"/>
            <w:vAlign w:val="top"/>
          </w:tcPr>
          <w:p w14:paraId="48C10AAA">
            <w:pPr>
              <w:spacing w:line="360" w:lineRule="auto"/>
              <w:jc w:val="left"/>
              <w:rPr>
                <w:rFonts w:ascii="宋体" w:hAnsi="宋体"/>
                <w:sz w:val="24"/>
              </w:rPr>
            </w:pPr>
          </w:p>
        </w:tc>
        <w:tc>
          <w:tcPr>
            <w:tcW w:w="1326" w:type="dxa"/>
            <w:noWrap w:val="0"/>
            <w:vAlign w:val="top"/>
          </w:tcPr>
          <w:p w14:paraId="72CF3E89">
            <w:pPr>
              <w:spacing w:line="360" w:lineRule="auto"/>
              <w:jc w:val="left"/>
              <w:rPr>
                <w:rFonts w:ascii="宋体" w:hAnsi="宋体"/>
                <w:sz w:val="24"/>
              </w:rPr>
            </w:pPr>
          </w:p>
        </w:tc>
        <w:tc>
          <w:tcPr>
            <w:tcW w:w="894" w:type="dxa"/>
            <w:noWrap w:val="0"/>
            <w:vAlign w:val="top"/>
          </w:tcPr>
          <w:p w14:paraId="235361C6">
            <w:pPr>
              <w:spacing w:line="360" w:lineRule="auto"/>
              <w:jc w:val="left"/>
              <w:rPr>
                <w:rFonts w:ascii="宋体" w:hAnsi="宋体"/>
                <w:sz w:val="24"/>
              </w:rPr>
            </w:pPr>
          </w:p>
        </w:tc>
      </w:tr>
      <w:tr w14:paraId="66AF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35318A02">
            <w:pPr>
              <w:spacing w:line="360" w:lineRule="auto"/>
              <w:jc w:val="center"/>
              <w:rPr>
                <w:rFonts w:ascii="宋体" w:hAnsi="宋体"/>
                <w:sz w:val="24"/>
              </w:rPr>
            </w:pPr>
            <w:r>
              <w:rPr>
                <w:rFonts w:hint="eastAsia" w:ascii="宋体" w:hAnsi="宋体"/>
                <w:sz w:val="24"/>
              </w:rPr>
              <w:t>5</w:t>
            </w:r>
          </w:p>
        </w:tc>
        <w:tc>
          <w:tcPr>
            <w:tcW w:w="1204" w:type="dxa"/>
            <w:noWrap w:val="0"/>
            <w:vAlign w:val="top"/>
          </w:tcPr>
          <w:p w14:paraId="476840A7">
            <w:pPr>
              <w:spacing w:line="360" w:lineRule="auto"/>
              <w:jc w:val="left"/>
              <w:rPr>
                <w:rFonts w:ascii="宋体" w:hAnsi="宋体"/>
                <w:sz w:val="24"/>
              </w:rPr>
            </w:pPr>
          </w:p>
        </w:tc>
        <w:tc>
          <w:tcPr>
            <w:tcW w:w="936" w:type="dxa"/>
            <w:noWrap w:val="0"/>
            <w:vAlign w:val="top"/>
          </w:tcPr>
          <w:p w14:paraId="156F2951">
            <w:pPr>
              <w:spacing w:line="360" w:lineRule="auto"/>
              <w:jc w:val="left"/>
              <w:rPr>
                <w:rFonts w:ascii="宋体" w:hAnsi="宋体"/>
                <w:sz w:val="24"/>
              </w:rPr>
            </w:pPr>
          </w:p>
        </w:tc>
        <w:tc>
          <w:tcPr>
            <w:tcW w:w="762" w:type="dxa"/>
            <w:noWrap w:val="0"/>
            <w:vAlign w:val="top"/>
          </w:tcPr>
          <w:p w14:paraId="71C398AC">
            <w:pPr>
              <w:spacing w:line="360" w:lineRule="auto"/>
              <w:jc w:val="left"/>
              <w:rPr>
                <w:rFonts w:ascii="宋体" w:hAnsi="宋体"/>
                <w:sz w:val="24"/>
              </w:rPr>
            </w:pPr>
          </w:p>
        </w:tc>
        <w:tc>
          <w:tcPr>
            <w:tcW w:w="699" w:type="dxa"/>
            <w:noWrap w:val="0"/>
            <w:vAlign w:val="top"/>
          </w:tcPr>
          <w:p w14:paraId="51DBCB26">
            <w:pPr>
              <w:spacing w:line="360" w:lineRule="auto"/>
              <w:jc w:val="left"/>
              <w:rPr>
                <w:rFonts w:ascii="宋体" w:hAnsi="宋体"/>
                <w:sz w:val="24"/>
              </w:rPr>
            </w:pPr>
          </w:p>
        </w:tc>
        <w:tc>
          <w:tcPr>
            <w:tcW w:w="990" w:type="dxa"/>
            <w:noWrap w:val="0"/>
            <w:vAlign w:val="top"/>
          </w:tcPr>
          <w:p w14:paraId="24D0B352">
            <w:pPr>
              <w:spacing w:line="360" w:lineRule="auto"/>
              <w:jc w:val="left"/>
              <w:rPr>
                <w:rFonts w:ascii="宋体" w:hAnsi="宋体"/>
                <w:sz w:val="24"/>
              </w:rPr>
            </w:pPr>
          </w:p>
        </w:tc>
        <w:tc>
          <w:tcPr>
            <w:tcW w:w="836" w:type="dxa"/>
            <w:noWrap w:val="0"/>
            <w:vAlign w:val="top"/>
          </w:tcPr>
          <w:p w14:paraId="5054B74D">
            <w:pPr>
              <w:spacing w:line="360" w:lineRule="auto"/>
              <w:jc w:val="left"/>
              <w:rPr>
                <w:rFonts w:ascii="宋体" w:hAnsi="宋体"/>
                <w:sz w:val="24"/>
              </w:rPr>
            </w:pPr>
          </w:p>
        </w:tc>
        <w:tc>
          <w:tcPr>
            <w:tcW w:w="837" w:type="dxa"/>
            <w:noWrap w:val="0"/>
            <w:vAlign w:val="top"/>
          </w:tcPr>
          <w:p w14:paraId="57DC2EC6">
            <w:pPr>
              <w:spacing w:line="360" w:lineRule="auto"/>
              <w:jc w:val="left"/>
              <w:rPr>
                <w:rFonts w:ascii="宋体" w:hAnsi="宋体"/>
                <w:sz w:val="24"/>
              </w:rPr>
            </w:pPr>
          </w:p>
        </w:tc>
        <w:tc>
          <w:tcPr>
            <w:tcW w:w="1326" w:type="dxa"/>
            <w:noWrap w:val="0"/>
            <w:vAlign w:val="top"/>
          </w:tcPr>
          <w:p w14:paraId="496D4843">
            <w:pPr>
              <w:spacing w:line="360" w:lineRule="auto"/>
              <w:jc w:val="left"/>
              <w:rPr>
                <w:rFonts w:ascii="宋体" w:hAnsi="宋体"/>
                <w:sz w:val="24"/>
              </w:rPr>
            </w:pPr>
          </w:p>
        </w:tc>
        <w:tc>
          <w:tcPr>
            <w:tcW w:w="894" w:type="dxa"/>
            <w:noWrap w:val="0"/>
            <w:vAlign w:val="top"/>
          </w:tcPr>
          <w:p w14:paraId="1BF0E25C">
            <w:pPr>
              <w:spacing w:line="360" w:lineRule="auto"/>
              <w:jc w:val="left"/>
              <w:rPr>
                <w:rFonts w:ascii="宋体" w:hAnsi="宋体"/>
                <w:sz w:val="24"/>
              </w:rPr>
            </w:pPr>
          </w:p>
        </w:tc>
      </w:tr>
      <w:tr w14:paraId="0E59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49244EB4">
            <w:pPr>
              <w:spacing w:line="360" w:lineRule="auto"/>
              <w:jc w:val="center"/>
              <w:rPr>
                <w:rFonts w:ascii="宋体" w:hAnsi="宋体"/>
                <w:sz w:val="24"/>
              </w:rPr>
            </w:pPr>
            <w:r>
              <w:rPr>
                <w:rFonts w:hint="eastAsia" w:ascii="宋体" w:hAnsi="宋体"/>
                <w:sz w:val="24"/>
              </w:rPr>
              <w:t>…</w:t>
            </w:r>
          </w:p>
        </w:tc>
        <w:tc>
          <w:tcPr>
            <w:tcW w:w="1204" w:type="dxa"/>
            <w:noWrap w:val="0"/>
            <w:vAlign w:val="top"/>
          </w:tcPr>
          <w:p w14:paraId="3CACA42A">
            <w:pPr>
              <w:spacing w:line="360" w:lineRule="auto"/>
              <w:jc w:val="left"/>
              <w:rPr>
                <w:rFonts w:ascii="宋体" w:hAnsi="宋体"/>
                <w:sz w:val="24"/>
              </w:rPr>
            </w:pPr>
          </w:p>
        </w:tc>
        <w:tc>
          <w:tcPr>
            <w:tcW w:w="936" w:type="dxa"/>
            <w:noWrap w:val="0"/>
            <w:vAlign w:val="top"/>
          </w:tcPr>
          <w:p w14:paraId="379EAA44">
            <w:pPr>
              <w:spacing w:line="360" w:lineRule="auto"/>
              <w:jc w:val="left"/>
              <w:rPr>
                <w:rFonts w:ascii="宋体" w:hAnsi="宋体"/>
                <w:sz w:val="24"/>
              </w:rPr>
            </w:pPr>
          </w:p>
        </w:tc>
        <w:tc>
          <w:tcPr>
            <w:tcW w:w="762" w:type="dxa"/>
            <w:noWrap w:val="0"/>
            <w:vAlign w:val="top"/>
          </w:tcPr>
          <w:p w14:paraId="61CB1EAE">
            <w:pPr>
              <w:spacing w:line="360" w:lineRule="auto"/>
              <w:jc w:val="left"/>
              <w:rPr>
                <w:rFonts w:ascii="宋体" w:hAnsi="宋体"/>
                <w:sz w:val="24"/>
              </w:rPr>
            </w:pPr>
          </w:p>
        </w:tc>
        <w:tc>
          <w:tcPr>
            <w:tcW w:w="699" w:type="dxa"/>
            <w:noWrap w:val="0"/>
            <w:vAlign w:val="top"/>
          </w:tcPr>
          <w:p w14:paraId="10023F28">
            <w:pPr>
              <w:spacing w:line="360" w:lineRule="auto"/>
              <w:jc w:val="left"/>
              <w:rPr>
                <w:rFonts w:ascii="宋体" w:hAnsi="宋体"/>
                <w:sz w:val="24"/>
              </w:rPr>
            </w:pPr>
          </w:p>
        </w:tc>
        <w:tc>
          <w:tcPr>
            <w:tcW w:w="990" w:type="dxa"/>
            <w:noWrap w:val="0"/>
            <w:vAlign w:val="top"/>
          </w:tcPr>
          <w:p w14:paraId="09AD278E">
            <w:pPr>
              <w:spacing w:line="360" w:lineRule="auto"/>
              <w:jc w:val="left"/>
              <w:rPr>
                <w:rFonts w:ascii="宋体" w:hAnsi="宋体"/>
                <w:sz w:val="24"/>
              </w:rPr>
            </w:pPr>
          </w:p>
        </w:tc>
        <w:tc>
          <w:tcPr>
            <w:tcW w:w="836" w:type="dxa"/>
            <w:noWrap w:val="0"/>
            <w:vAlign w:val="top"/>
          </w:tcPr>
          <w:p w14:paraId="594E5CA6">
            <w:pPr>
              <w:spacing w:line="360" w:lineRule="auto"/>
              <w:jc w:val="left"/>
              <w:rPr>
                <w:rFonts w:ascii="宋体" w:hAnsi="宋体"/>
                <w:sz w:val="24"/>
              </w:rPr>
            </w:pPr>
          </w:p>
        </w:tc>
        <w:tc>
          <w:tcPr>
            <w:tcW w:w="837" w:type="dxa"/>
            <w:noWrap w:val="0"/>
            <w:vAlign w:val="top"/>
          </w:tcPr>
          <w:p w14:paraId="5F4AC7EB">
            <w:pPr>
              <w:spacing w:line="360" w:lineRule="auto"/>
              <w:jc w:val="left"/>
              <w:rPr>
                <w:rFonts w:ascii="宋体" w:hAnsi="宋体"/>
                <w:sz w:val="24"/>
              </w:rPr>
            </w:pPr>
          </w:p>
        </w:tc>
        <w:tc>
          <w:tcPr>
            <w:tcW w:w="1326" w:type="dxa"/>
            <w:noWrap w:val="0"/>
            <w:vAlign w:val="top"/>
          </w:tcPr>
          <w:p w14:paraId="33D55B23">
            <w:pPr>
              <w:spacing w:line="360" w:lineRule="auto"/>
              <w:jc w:val="left"/>
              <w:rPr>
                <w:rFonts w:ascii="宋体" w:hAnsi="宋体"/>
                <w:sz w:val="24"/>
              </w:rPr>
            </w:pPr>
          </w:p>
        </w:tc>
        <w:tc>
          <w:tcPr>
            <w:tcW w:w="894" w:type="dxa"/>
            <w:noWrap w:val="0"/>
            <w:vAlign w:val="top"/>
          </w:tcPr>
          <w:p w14:paraId="09B9E11A">
            <w:pPr>
              <w:spacing w:line="360" w:lineRule="auto"/>
              <w:jc w:val="left"/>
              <w:rPr>
                <w:rFonts w:ascii="宋体" w:hAnsi="宋体"/>
                <w:sz w:val="24"/>
              </w:rPr>
            </w:pPr>
          </w:p>
        </w:tc>
      </w:tr>
      <w:tr w14:paraId="4861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gridSpan w:val="2"/>
            <w:noWrap w:val="0"/>
            <w:vAlign w:val="top"/>
          </w:tcPr>
          <w:p w14:paraId="712666AC">
            <w:pPr>
              <w:spacing w:line="360" w:lineRule="auto"/>
              <w:jc w:val="center"/>
              <w:rPr>
                <w:rFonts w:ascii="宋体" w:hAnsi="宋体"/>
                <w:sz w:val="24"/>
              </w:rPr>
            </w:pPr>
            <w:r>
              <w:rPr>
                <w:rFonts w:hint="eastAsia" w:ascii="宋体" w:hAnsi="宋体"/>
                <w:sz w:val="24"/>
              </w:rPr>
              <w:t>合计</w:t>
            </w:r>
          </w:p>
        </w:tc>
        <w:tc>
          <w:tcPr>
            <w:tcW w:w="7280" w:type="dxa"/>
            <w:gridSpan w:val="8"/>
            <w:noWrap w:val="0"/>
            <w:vAlign w:val="top"/>
          </w:tcPr>
          <w:p w14:paraId="3724E826">
            <w:pPr>
              <w:spacing w:line="360" w:lineRule="auto"/>
              <w:jc w:val="left"/>
              <w:rPr>
                <w:rFonts w:ascii="宋体" w:hAnsi="宋体"/>
                <w:sz w:val="24"/>
              </w:rPr>
            </w:pPr>
            <w:r>
              <w:rPr>
                <w:rFonts w:hint="eastAsia" w:ascii="宋体" w:hAnsi="宋体"/>
                <w:sz w:val="24"/>
              </w:rPr>
              <w:t>大写</w:t>
            </w:r>
            <w:r>
              <w:rPr>
                <w:rFonts w:ascii="宋体" w:hAnsi="宋体"/>
                <w:sz w:val="24"/>
              </w:rPr>
              <w:t>：</w:t>
            </w:r>
            <w:r>
              <w:rPr>
                <w:rFonts w:hint="eastAsia" w:ascii="宋体" w:hAnsi="宋体"/>
                <w:sz w:val="24"/>
              </w:rPr>
              <w:t xml:space="preserve">                （含税价）   小写</w:t>
            </w:r>
            <w:r>
              <w:rPr>
                <w:rFonts w:ascii="宋体" w:hAnsi="宋体"/>
                <w:sz w:val="24"/>
              </w:rPr>
              <w:t>:</w:t>
            </w:r>
            <w:r>
              <w:rPr>
                <w:rFonts w:hint="eastAsia" w:ascii="宋体" w:hAnsi="宋体"/>
                <w:sz w:val="24"/>
              </w:rPr>
              <w:t xml:space="preserve"> ￥</w:t>
            </w:r>
          </w:p>
        </w:tc>
      </w:tr>
    </w:tbl>
    <w:p w14:paraId="1DE82EB2">
      <w:pPr>
        <w:spacing w:line="360" w:lineRule="auto"/>
        <w:jc w:val="left"/>
        <w:rPr>
          <w:rFonts w:ascii="宋体" w:hAnsi="宋体"/>
          <w:sz w:val="24"/>
        </w:rPr>
      </w:pPr>
    </w:p>
    <w:p w14:paraId="64066516">
      <w:pPr>
        <w:widowControl/>
        <w:jc w:val="left"/>
        <w:rPr>
          <w:rFonts w:ascii="宋体" w:hAnsi="宋体"/>
          <w:sz w:val="24"/>
        </w:rPr>
      </w:pPr>
      <w:r>
        <w:rPr>
          <w:rFonts w:ascii="宋体" w:hAnsi="宋体"/>
          <w:sz w:val="24"/>
        </w:rPr>
        <w:br w:type="page"/>
      </w:r>
    </w:p>
    <w:p w14:paraId="7D7F585A">
      <w:pPr>
        <w:spacing w:line="360" w:lineRule="auto"/>
        <w:jc w:val="left"/>
        <w:rPr>
          <w:rFonts w:ascii="宋体" w:hAnsi="宋体"/>
          <w:sz w:val="24"/>
        </w:rPr>
      </w:pPr>
      <w:r>
        <w:rPr>
          <w:rFonts w:hint="eastAsia" w:ascii="宋体" w:hAnsi="宋体"/>
          <w:sz w:val="24"/>
        </w:rPr>
        <w:t>附件</w:t>
      </w:r>
      <w:r>
        <w:rPr>
          <w:rFonts w:ascii="宋体" w:hAnsi="宋体"/>
          <w:sz w:val="24"/>
        </w:rPr>
        <w:t>二：</w:t>
      </w:r>
    </w:p>
    <w:p w14:paraId="376BC9AA">
      <w:pPr>
        <w:spacing w:line="360" w:lineRule="auto"/>
        <w:jc w:val="center"/>
        <w:rPr>
          <w:rFonts w:ascii="宋体" w:hAnsi="宋体"/>
          <w:b/>
          <w:sz w:val="24"/>
        </w:rPr>
      </w:pPr>
      <w:r>
        <w:rPr>
          <w:rFonts w:ascii="宋体" w:hAnsi="宋体"/>
          <w:b/>
          <w:sz w:val="24"/>
        </w:rPr>
        <w:t>货物技术参数</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72"/>
        <w:gridCol w:w="715"/>
        <w:gridCol w:w="4205"/>
        <w:gridCol w:w="1043"/>
        <w:gridCol w:w="1414"/>
      </w:tblGrid>
      <w:tr w14:paraId="3667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27274255">
            <w:pPr>
              <w:spacing w:line="360" w:lineRule="auto"/>
              <w:jc w:val="center"/>
              <w:rPr>
                <w:rFonts w:ascii="宋体" w:hAnsi="宋体"/>
                <w:sz w:val="24"/>
              </w:rPr>
            </w:pPr>
            <w:r>
              <w:rPr>
                <w:rFonts w:hint="eastAsia" w:ascii="宋体" w:hAnsi="宋体"/>
                <w:sz w:val="24"/>
              </w:rPr>
              <w:t>序号</w:t>
            </w:r>
          </w:p>
        </w:tc>
        <w:tc>
          <w:tcPr>
            <w:tcW w:w="1272" w:type="dxa"/>
            <w:noWrap w:val="0"/>
            <w:vAlign w:val="top"/>
          </w:tcPr>
          <w:p w14:paraId="1B291AAB">
            <w:pPr>
              <w:spacing w:line="360" w:lineRule="auto"/>
              <w:jc w:val="center"/>
              <w:rPr>
                <w:rFonts w:ascii="宋体" w:hAnsi="宋体"/>
                <w:sz w:val="24"/>
              </w:rPr>
            </w:pPr>
            <w:r>
              <w:rPr>
                <w:rFonts w:hint="eastAsia" w:ascii="宋体" w:hAnsi="宋体"/>
                <w:sz w:val="24"/>
              </w:rPr>
              <w:t>货物</w:t>
            </w:r>
            <w:r>
              <w:rPr>
                <w:rFonts w:ascii="宋体" w:hAnsi="宋体"/>
                <w:sz w:val="24"/>
              </w:rPr>
              <w:t>名称</w:t>
            </w:r>
          </w:p>
        </w:tc>
        <w:tc>
          <w:tcPr>
            <w:tcW w:w="715" w:type="dxa"/>
            <w:noWrap w:val="0"/>
            <w:vAlign w:val="top"/>
          </w:tcPr>
          <w:p w14:paraId="4CC1A202">
            <w:pPr>
              <w:spacing w:line="360" w:lineRule="auto"/>
              <w:jc w:val="center"/>
              <w:rPr>
                <w:rFonts w:ascii="宋体" w:hAnsi="宋体"/>
                <w:sz w:val="24"/>
              </w:rPr>
            </w:pPr>
            <w:r>
              <w:rPr>
                <w:rFonts w:hint="eastAsia" w:ascii="宋体" w:hAnsi="宋体"/>
                <w:sz w:val="24"/>
              </w:rPr>
              <w:t>品牌</w:t>
            </w:r>
          </w:p>
        </w:tc>
        <w:tc>
          <w:tcPr>
            <w:tcW w:w="4205" w:type="dxa"/>
            <w:noWrap w:val="0"/>
            <w:vAlign w:val="top"/>
          </w:tcPr>
          <w:p w14:paraId="055E70CC">
            <w:pPr>
              <w:spacing w:line="360" w:lineRule="auto"/>
              <w:jc w:val="center"/>
              <w:rPr>
                <w:rFonts w:ascii="宋体" w:hAnsi="宋体"/>
                <w:sz w:val="24"/>
              </w:rPr>
            </w:pPr>
            <w:r>
              <w:rPr>
                <w:rFonts w:hint="eastAsia" w:ascii="宋体" w:hAnsi="宋体"/>
                <w:sz w:val="24"/>
              </w:rPr>
              <w:t>技术</w:t>
            </w:r>
            <w:r>
              <w:rPr>
                <w:rFonts w:ascii="宋体" w:hAnsi="宋体"/>
                <w:sz w:val="24"/>
              </w:rPr>
              <w:t>参数</w:t>
            </w:r>
          </w:p>
        </w:tc>
        <w:tc>
          <w:tcPr>
            <w:tcW w:w="1043" w:type="dxa"/>
            <w:noWrap w:val="0"/>
            <w:vAlign w:val="top"/>
          </w:tcPr>
          <w:p w14:paraId="09DD1512">
            <w:pPr>
              <w:spacing w:line="360" w:lineRule="auto"/>
              <w:jc w:val="center"/>
              <w:rPr>
                <w:rFonts w:ascii="宋体" w:hAnsi="宋体"/>
                <w:sz w:val="24"/>
              </w:rPr>
            </w:pPr>
            <w:r>
              <w:rPr>
                <w:rFonts w:hint="eastAsia" w:ascii="宋体" w:hAnsi="宋体"/>
                <w:sz w:val="24"/>
              </w:rPr>
              <w:t>质保期</w:t>
            </w:r>
          </w:p>
        </w:tc>
        <w:tc>
          <w:tcPr>
            <w:tcW w:w="1414" w:type="dxa"/>
            <w:noWrap w:val="0"/>
            <w:vAlign w:val="top"/>
          </w:tcPr>
          <w:p w14:paraId="0F7C3445">
            <w:pPr>
              <w:spacing w:line="360" w:lineRule="auto"/>
              <w:jc w:val="center"/>
              <w:rPr>
                <w:rFonts w:ascii="宋体" w:hAnsi="宋体"/>
                <w:sz w:val="24"/>
              </w:rPr>
            </w:pPr>
            <w:r>
              <w:rPr>
                <w:rFonts w:hint="eastAsia" w:ascii="宋体" w:hAnsi="宋体"/>
                <w:sz w:val="24"/>
              </w:rPr>
              <w:t>交货</w:t>
            </w:r>
            <w:r>
              <w:rPr>
                <w:rFonts w:ascii="宋体" w:hAnsi="宋体"/>
                <w:sz w:val="24"/>
              </w:rPr>
              <w:t>时间</w:t>
            </w:r>
          </w:p>
        </w:tc>
      </w:tr>
      <w:tr w14:paraId="7B12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39D0758A">
            <w:pPr>
              <w:spacing w:line="360" w:lineRule="auto"/>
              <w:jc w:val="center"/>
              <w:rPr>
                <w:rFonts w:ascii="宋体" w:hAnsi="宋体"/>
                <w:sz w:val="24"/>
              </w:rPr>
            </w:pPr>
            <w:r>
              <w:rPr>
                <w:rFonts w:hint="eastAsia" w:ascii="宋体" w:hAnsi="宋体"/>
                <w:sz w:val="24"/>
              </w:rPr>
              <w:t>1</w:t>
            </w:r>
          </w:p>
        </w:tc>
        <w:tc>
          <w:tcPr>
            <w:tcW w:w="1272" w:type="dxa"/>
            <w:noWrap w:val="0"/>
            <w:vAlign w:val="top"/>
          </w:tcPr>
          <w:p w14:paraId="645A9AC6">
            <w:pPr>
              <w:spacing w:line="360" w:lineRule="auto"/>
              <w:jc w:val="left"/>
              <w:rPr>
                <w:rFonts w:ascii="宋体" w:hAnsi="宋体"/>
                <w:sz w:val="24"/>
              </w:rPr>
            </w:pPr>
          </w:p>
        </w:tc>
        <w:tc>
          <w:tcPr>
            <w:tcW w:w="715" w:type="dxa"/>
            <w:noWrap w:val="0"/>
            <w:vAlign w:val="top"/>
          </w:tcPr>
          <w:p w14:paraId="7BA3ECFC">
            <w:pPr>
              <w:spacing w:line="360" w:lineRule="auto"/>
              <w:jc w:val="left"/>
              <w:rPr>
                <w:rFonts w:ascii="宋体" w:hAnsi="宋体"/>
                <w:sz w:val="24"/>
              </w:rPr>
            </w:pPr>
          </w:p>
        </w:tc>
        <w:tc>
          <w:tcPr>
            <w:tcW w:w="4205" w:type="dxa"/>
            <w:noWrap w:val="0"/>
            <w:vAlign w:val="top"/>
          </w:tcPr>
          <w:p w14:paraId="20307677">
            <w:pPr>
              <w:spacing w:line="360" w:lineRule="auto"/>
              <w:jc w:val="left"/>
              <w:rPr>
                <w:rFonts w:ascii="宋体" w:hAnsi="宋体"/>
                <w:sz w:val="24"/>
              </w:rPr>
            </w:pPr>
          </w:p>
        </w:tc>
        <w:tc>
          <w:tcPr>
            <w:tcW w:w="1043" w:type="dxa"/>
            <w:noWrap w:val="0"/>
            <w:vAlign w:val="top"/>
          </w:tcPr>
          <w:p w14:paraId="09183C3B">
            <w:pPr>
              <w:spacing w:line="360" w:lineRule="auto"/>
              <w:jc w:val="left"/>
              <w:rPr>
                <w:rFonts w:ascii="宋体" w:hAnsi="宋体"/>
                <w:sz w:val="24"/>
              </w:rPr>
            </w:pPr>
          </w:p>
        </w:tc>
        <w:tc>
          <w:tcPr>
            <w:tcW w:w="1414" w:type="dxa"/>
            <w:noWrap w:val="0"/>
            <w:vAlign w:val="top"/>
          </w:tcPr>
          <w:p w14:paraId="3676F72F">
            <w:pPr>
              <w:spacing w:line="360" w:lineRule="auto"/>
              <w:jc w:val="left"/>
              <w:rPr>
                <w:rFonts w:ascii="宋体" w:hAnsi="宋体"/>
                <w:sz w:val="24"/>
              </w:rPr>
            </w:pPr>
          </w:p>
        </w:tc>
      </w:tr>
      <w:tr w14:paraId="0556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6AD81DEB">
            <w:pPr>
              <w:spacing w:line="360" w:lineRule="auto"/>
              <w:jc w:val="center"/>
              <w:rPr>
                <w:rFonts w:ascii="宋体" w:hAnsi="宋体"/>
                <w:sz w:val="24"/>
              </w:rPr>
            </w:pPr>
            <w:r>
              <w:rPr>
                <w:rFonts w:hint="eastAsia" w:ascii="宋体" w:hAnsi="宋体"/>
                <w:sz w:val="24"/>
              </w:rPr>
              <w:t>2</w:t>
            </w:r>
          </w:p>
        </w:tc>
        <w:tc>
          <w:tcPr>
            <w:tcW w:w="1272" w:type="dxa"/>
            <w:noWrap w:val="0"/>
            <w:vAlign w:val="top"/>
          </w:tcPr>
          <w:p w14:paraId="2DFC8601">
            <w:pPr>
              <w:spacing w:line="360" w:lineRule="auto"/>
              <w:jc w:val="left"/>
              <w:rPr>
                <w:rFonts w:ascii="宋体" w:hAnsi="宋体"/>
                <w:sz w:val="24"/>
              </w:rPr>
            </w:pPr>
          </w:p>
        </w:tc>
        <w:tc>
          <w:tcPr>
            <w:tcW w:w="715" w:type="dxa"/>
            <w:noWrap w:val="0"/>
            <w:vAlign w:val="top"/>
          </w:tcPr>
          <w:p w14:paraId="19F0F6A1">
            <w:pPr>
              <w:spacing w:line="360" w:lineRule="auto"/>
              <w:jc w:val="left"/>
              <w:rPr>
                <w:rFonts w:ascii="宋体" w:hAnsi="宋体"/>
                <w:sz w:val="24"/>
              </w:rPr>
            </w:pPr>
          </w:p>
        </w:tc>
        <w:tc>
          <w:tcPr>
            <w:tcW w:w="4205" w:type="dxa"/>
            <w:noWrap w:val="0"/>
            <w:vAlign w:val="top"/>
          </w:tcPr>
          <w:p w14:paraId="65F4F274">
            <w:pPr>
              <w:spacing w:line="360" w:lineRule="auto"/>
              <w:jc w:val="left"/>
              <w:rPr>
                <w:rFonts w:ascii="宋体" w:hAnsi="宋体"/>
                <w:sz w:val="24"/>
              </w:rPr>
            </w:pPr>
          </w:p>
        </w:tc>
        <w:tc>
          <w:tcPr>
            <w:tcW w:w="1043" w:type="dxa"/>
            <w:noWrap w:val="0"/>
            <w:vAlign w:val="top"/>
          </w:tcPr>
          <w:p w14:paraId="603CFCDE">
            <w:pPr>
              <w:spacing w:line="360" w:lineRule="auto"/>
              <w:jc w:val="left"/>
              <w:rPr>
                <w:rFonts w:ascii="宋体" w:hAnsi="宋体"/>
                <w:sz w:val="24"/>
              </w:rPr>
            </w:pPr>
          </w:p>
        </w:tc>
        <w:tc>
          <w:tcPr>
            <w:tcW w:w="1414" w:type="dxa"/>
            <w:noWrap w:val="0"/>
            <w:vAlign w:val="top"/>
          </w:tcPr>
          <w:p w14:paraId="148B6512">
            <w:pPr>
              <w:spacing w:line="360" w:lineRule="auto"/>
              <w:jc w:val="left"/>
              <w:rPr>
                <w:rFonts w:ascii="宋体" w:hAnsi="宋体"/>
                <w:sz w:val="24"/>
              </w:rPr>
            </w:pPr>
          </w:p>
        </w:tc>
      </w:tr>
      <w:tr w14:paraId="7AF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1307B009">
            <w:pPr>
              <w:spacing w:line="360" w:lineRule="auto"/>
              <w:jc w:val="center"/>
              <w:rPr>
                <w:rFonts w:ascii="宋体" w:hAnsi="宋体"/>
                <w:sz w:val="24"/>
              </w:rPr>
            </w:pPr>
            <w:r>
              <w:rPr>
                <w:rFonts w:hint="eastAsia" w:ascii="宋体" w:hAnsi="宋体"/>
                <w:sz w:val="24"/>
              </w:rPr>
              <w:t>3</w:t>
            </w:r>
          </w:p>
        </w:tc>
        <w:tc>
          <w:tcPr>
            <w:tcW w:w="1272" w:type="dxa"/>
            <w:noWrap w:val="0"/>
            <w:vAlign w:val="top"/>
          </w:tcPr>
          <w:p w14:paraId="13DEF637">
            <w:pPr>
              <w:spacing w:line="360" w:lineRule="auto"/>
              <w:jc w:val="left"/>
              <w:rPr>
                <w:rFonts w:ascii="宋体" w:hAnsi="宋体"/>
                <w:sz w:val="24"/>
              </w:rPr>
            </w:pPr>
          </w:p>
        </w:tc>
        <w:tc>
          <w:tcPr>
            <w:tcW w:w="715" w:type="dxa"/>
            <w:noWrap w:val="0"/>
            <w:vAlign w:val="top"/>
          </w:tcPr>
          <w:p w14:paraId="4A667D7A">
            <w:pPr>
              <w:spacing w:line="360" w:lineRule="auto"/>
              <w:jc w:val="left"/>
              <w:rPr>
                <w:rFonts w:ascii="宋体" w:hAnsi="宋体"/>
                <w:sz w:val="24"/>
              </w:rPr>
            </w:pPr>
          </w:p>
        </w:tc>
        <w:tc>
          <w:tcPr>
            <w:tcW w:w="4205" w:type="dxa"/>
            <w:noWrap w:val="0"/>
            <w:vAlign w:val="top"/>
          </w:tcPr>
          <w:p w14:paraId="0E44C692">
            <w:pPr>
              <w:spacing w:line="360" w:lineRule="auto"/>
              <w:jc w:val="left"/>
              <w:rPr>
                <w:rFonts w:ascii="宋体" w:hAnsi="宋体"/>
                <w:sz w:val="24"/>
              </w:rPr>
            </w:pPr>
          </w:p>
        </w:tc>
        <w:tc>
          <w:tcPr>
            <w:tcW w:w="1043" w:type="dxa"/>
            <w:noWrap w:val="0"/>
            <w:vAlign w:val="top"/>
          </w:tcPr>
          <w:p w14:paraId="4A091E6B">
            <w:pPr>
              <w:spacing w:line="360" w:lineRule="auto"/>
              <w:jc w:val="left"/>
              <w:rPr>
                <w:rFonts w:ascii="宋体" w:hAnsi="宋体"/>
                <w:sz w:val="24"/>
              </w:rPr>
            </w:pPr>
          </w:p>
        </w:tc>
        <w:tc>
          <w:tcPr>
            <w:tcW w:w="1414" w:type="dxa"/>
            <w:noWrap w:val="0"/>
            <w:vAlign w:val="top"/>
          </w:tcPr>
          <w:p w14:paraId="7127198F">
            <w:pPr>
              <w:spacing w:line="360" w:lineRule="auto"/>
              <w:jc w:val="left"/>
              <w:rPr>
                <w:rFonts w:ascii="宋体" w:hAnsi="宋体"/>
                <w:sz w:val="24"/>
              </w:rPr>
            </w:pPr>
          </w:p>
        </w:tc>
      </w:tr>
      <w:tr w14:paraId="24AD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36D53AAB">
            <w:pPr>
              <w:spacing w:line="360" w:lineRule="auto"/>
              <w:jc w:val="center"/>
              <w:rPr>
                <w:rFonts w:ascii="宋体" w:hAnsi="宋体"/>
                <w:sz w:val="24"/>
              </w:rPr>
            </w:pPr>
            <w:r>
              <w:rPr>
                <w:rFonts w:hint="eastAsia" w:ascii="宋体" w:hAnsi="宋体"/>
                <w:sz w:val="24"/>
              </w:rPr>
              <w:t>4</w:t>
            </w:r>
          </w:p>
        </w:tc>
        <w:tc>
          <w:tcPr>
            <w:tcW w:w="1272" w:type="dxa"/>
            <w:noWrap w:val="0"/>
            <w:vAlign w:val="top"/>
          </w:tcPr>
          <w:p w14:paraId="443C38DD">
            <w:pPr>
              <w:spacing w:line="360" w:lineRule="auto"/>
              <w:jc w:val="left"/>
              <w:rPr>
                <w:rFonts w:ascii="宋体" w:hAnsi="宋体"/>
                <w:sz w:val="24"/>
              </w:rPr>
            </w:pPr>
          </w:p>
        </w:tc>
        <w:tc>
          <w:tcPr>
            <w:tcW w:w="715" w:type="dxa"/>
            <w:noWrap w:val="0"/>
            <w:vAlign w:val="top"/>
          </w:tcPr>
          <w:p w14:paraId="492BBC0B">
            <w:pPr>
              <w:spacing w:line="360" w:lineRule="auto"/>
              <w:jc w:val="left"/>
              <w:rPr>
                <w:rFonts w:ascii="宋体" w:hAnsi="宋体"/>
                <w:sz w:val="24"/>
              </w:rPr>
            </w:pPr>
          </w:p>
        </w:tc>
        <w:tc>
          <w:tcPr>
            <w:tcW w:w="4205" w:type="dxa"/>
            <w:noWrap w:val="0"/>
            <w:vAlign w:val="top"/>
          </w:tcPr>
          <w:p w14:paraId="5D52C9F5">
            <w:pPr>
              <w:spacing w:line="360" w:lineRule="auto"/>
              <w:jc w:val="left"/>
              <w:rPr>
                <w:rFonts w:ascii="宋体" w:hAnsi="宋体"/>
                <w:sz w:val="24"/>
              </w:rPr>
            </w:pPr>
          </w:p>
        </w:tc>
        <w:tc>
          <w:tcPr>
            <w:tcW w:w="1043" w:type="dxa"/>
            <w:noWrap w:val="0"/>
            <w:vAlign w:val="top"/>
          </w:tcPr>
          <w:p w14:paraId="617CB9A7">
            <w:pPr>
              <w:spacing w:line="360" w:lineRule="auto"/>
              <w:jc w:val="left"/>
              <w:rPr>
                <w:rFonts w:ascii="宋体" w:hAnsi="宋体"/>
                <w:sz w:val="24"/>
              </w:rPr>
            </w:pPr>
          </w:p>
        </w:tc>
        <w:tc>
          <w:tcPr>
            <w:tcW w:w="1414" w:type="dxa"/>
            <w:noWrap w:val="0"/>
            <w:vAlign w:val="top"/>
          </w:tcPr>
          <w:p w14:paraId="75FBE5FB">
            <w:pPr>
              <w:spacing w:line="360" w:lineRule="auto"/>
              <w:jc w:val="left"/>
              <w:rPr>
                <w:rFonts w:ascii="宋体" w:hAnsi="宋体"/>
                <w:sz w:val="24"/>
              </w:rPr>
            </w:pPr>
          </w:p>
        </w:tc>
      </w:tr>
      <w:tr w14:paraId="4A07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3994F8FD">
            <w:pPr>
              <w:spacing w:line="360" w:lineRule="auto"/>
              <w:jc w:val="center"/>
              <w:rPr>
                <w:rFonts w:ascii="宋体" w:hAnsi="宋体"/>
                <w:sz w:val="24"/>
              </w:rPr>
            </w:pPr>
            <w:r>
              <w:rPr>
                <w:rFonts w:hint="eastAsia" w:ascii="宋体" w:hAnsi="宋体"/>
                <w:sz w:val="24"/>
              </w:rPr>
              <w:t>5</w:t>
            </w:r>
          </w:p>
        </w:tc>
        <w:tc>
          <w:tcPr>
            <w:tcW w:w="1272" w:type="dxa"/>
            <w:noWrap w:val="0"/>
            <w:vAlign w:val="top"/>
          </w:tcPr>
          <w:p w14:paraId="25091E54">
            <w:pPr>
              <w:spacing w:line="360" w:lineRule="auto"/>
              <w:jc w:val="left"/>
              <w:rPr>
                <w:rFonts w:ascii="宋体" w:hAnsi="宋体"/>
                <w:sz w:val="24"/>
              </w:rPr>
            </w:pPr>
          </w:p>
        </w:tc>
        <w:tc>
          <w:tcPr>
            <w:tcW w:w="715" w:type="dxa"/>
            <w:noWrap w:val="0"/>
            <w:vAlign w:val="top"/>
          </w:tcPr>
          <w:p w14:paraId="25E5E677">
            <w:pPr>
              <w:spacing w:line="360" w:lineRule="auto"/>
              <w:jc w:val="left"/>
              <w:rPr>
                <w:rFonts w:ascii="宋体" w:hAnsi="宋体"/>
                <w:sz w:val="24"/>
              </w:rPr>
            </w:pPr>
          </w:p>
        </w:tc>
        <w:tc>
          <w:tcPr>
            <w:tcW w:w="4205" w:type="dxa"/>
            <w:noWrap w:val="0"/>
            <w:vAlign w:val="top"/>
          </w:tcPr>
          <w:p w14:paraId="0317D20D">
            <w:pPr>
              <w:spacing w:line="360" w:lineRule="auto"/>
              <w:jc w:val="left"/>
              <w:rPr>
                <w:rFonts w:ascii="宋体" w:hAnsi="宋体"/>
                <w:sz w:val="24"/>
              </w:rPr>
            </w:pPr>
          </w:p>
        </w:tc>
        <w:tc>
          <w:tcPr>
            <w:tcW w:w="1043" w:type="dxa"/>
            <w:noWrap w:val="0"/>
            <w:vAlign w:val="top"/>
          </w:tcPr>
          <w:p w14:paraId="17A0ACD5">
            <w:pPr>
              <w:spacing w:line="360" w:lineRule="auto"/>
              <w:jc w:val="left"/>
              <w:rPr>
                <w:rFonts w:ascii="宋体" w:hAnsi="宋体"/>
                <w:sz w:val="24"/>
              </w:rPr>
            </w:pPr>
          </w:p>
        </w:tc>
        <w:tc>
          <w:tcPr>
            <w:tcW w:w="1414" w:type="dxa"/>
            <w:noWrap w:val="0"/>
            <w:vAlign w:val="top"/>
          </w:tcPr>
          <w:p w14:paraId="515BA2F8">
            <w:pPr>
              <w:spacing w:line="360" w:lineRule="auto"/>
              <w:jc w:val="left"/>
              <w:rPr>
                <w:rFonts w:ascii="宋体" w:hAnsi="宋体"/>
                <w:sz w:val="24"/>
              </w:rPr>
            </w:pPr>
          </w:p>
        </w:tc>
      </w:tr>
      <w:tr w14:paraId="4535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765EEB59">
            <w:pPr>
              <w:spacing w:line="360" w:lineRule="auto"/>
              <w:jc w:val="center"/>
              <w:rPr>
                <w:rFonts w:ascii="宋体" w:hAnsi="宋体"/>
                <w:sz w:val="24"/>
              </w:rPr>
            </w:pPr>
            <w:r>
              <w:rPr>
                <w:rFonts w:hint="eastAsia" w:ascii="宋体" w:hAnsi="宋体"/>
                <w:sz w:val="24"/>
              </w:rPr>
              <w:t>…</w:t>
            </w:r>
          </w:p>
        </w:tc>
        <w:tc>
          <w:tcPr>
            <w:tcW w:w="1272" w:type="dxa"/>
            <w:noWrap w:val="0"/>
            <w:vAlign w:val="top"/>
          </w:tcPr>
          <w:p w14:paraId="4E1FCBD9">
            <w:pPr>
              <w:spacing w:line="360" w:lineRule="auto"/>
              <w:jc w:val="left"/>
              <w:rPr>
                <w:rFonts w:ascii="宋体" w:hAnsi="宋体"/>
                <w:sz w:val="24"/>
              </w:rPr>
            </w:pPr>
          </w:p>
        </w:tc>
        <w:tc>
          <w:tcPr>
            <w:tcW w:w="715" w:type="dxa"/>
            <w:noWrap w:val="0"/>
            <w:vAlign w:val="top"/>
          </w:tcPr>
          <w:p w14:paraId="06CB35DE">
            <w:pPr>
              <w:spacing w:line="360" w:lineRule="auto"/>
              <w:jc w:val="left"/>
              <w:rPr>
                <w:rFonts w:ascii="宋体" w:hAnsi="宋体"/>
                <w:sz w:val="24"/>
              </w:rPr>
            </w:pPr>
          </w:p>
        </w:tc>
        <w:tc>
          <w:tcPr>
            <w:tcW w:w="4205" w:type="dxa"/>
            <w:noWrap w:val="0"/>
            <w:vAlign w:val="top"/>
          </w:tcPr>
          <w:p w14:paraId="67F043AA">
            <w:pPr>
              <w:spacing w:line="360" w:lineRule="auto"/>
              <w:jc w:val="left"/>
              <w:rPr>
                <w:rFonts w:ascii="宋体" w:hAnsi="宋体"/>
                <w:sz w:val="24"/>
              </w:rPr>
            </w:pPr>
          </w:p>
        </w:tc>
        <w:tc>
          <w:tcPr>
            <w:tcW w:w="1043" w:type="dxa"/>
            <w:noWrap w:val="0"/>
            <w:vAlign w:val="top"/>
          </w:tcPr>
          <w:p w14:paraId="0A397234">
            <w:pPr>
              <w:spacing w:line="360" w:lineRule="auto"/>
              <w:jc w:val="left"/>
              <w:rPr>
                <w:rFonts w:ascii="宋体" w:hAnsi="宋体"/>
                <w:sz w:val="24"/>
              </w:rPr>
            </w:pPr>
          </w:p>
        </w:tc>
        <w:tc>
          <w:tcPr>
            <w:tcW w:w="1414" w:type="dxa"/>
            <w:noWrap w:val="0"/>
            <w:vAlign w:val="top"/>
          </w:tcPr>
          <w:p w14:paraId="7762EF77">
            <w:pPr>
              <w:spacing w:line="360" w:lineRule="auto"/>
              <w:jc w:val="left"/>
              <w:rPr>
                <w:rFonts w:ascii="宋体" w:hAnsi="宋体"/>
                <w:sz w:val="24"/>
              </w:rPr>
            </w:pPr>
          </w:p>
        </w:tc>
      </w:tr>
    </w:tbl>
    <w:p w14:paraId="1D3BDE96">
      <w:pPr>
        <w:spacing w:line="360" w:lineRule="auto"/>
        <w:jc w:val="left"/>
        <w:rPr>
          <w:rFonts w:ascii="宋体" w:hAnsi="宋体"/>
          <w:sz w:val="24"/>
        </w:rPr>
      </w:pPr>
    </w:p>
    <w:p w14:paraId="0EA0778E">
      <w:pPr>
        <w:widowControl/>
        <w:jc w:val="left"/>
        <w:rPr>
          <w:rFonts w:ascii="宋体" w:hAnsi="宋体"/>
          <w:sz w:val="24"/>
        </w:rPr>
      </w:pPr>
      <w:r>
        <w:rPr>
          <w:rFonts w:ascii="宋体" w:hAnsi="宋体"/>
          <w:sz w:val="24"/>
        </w:rPr>
        <w:br w:type="page"/>
      </w:r>
    </w:p>
    <w:p w14:paraId="32D898C0">
      <w:pPr>
        <w:spacing w:line="360" w:lineRule="auto"/>
        <w:jc w:val="left"/>
        <w:rPr>
          <w:rFonts w:ascii="宋体" w:hAnsi="宋体"/>
          <w:sz w:val="24"/>
        </w:rPr>
      </w:pPr>
      <w:r>
        <w:rPr>
          <w:rFonts w:hint="eastAsia" w:ascii="宋体" w:hAnsi="宋体"/>
          <w:sz w:val="24"/>
        </w:rPr>
        <w:t>附件</w:t>
      </w:r>
      <w:r>
        <w:rPr>
          <w:rFonts w:ascii="宋体" w:hAnsi="宋体"/>
          <w:sz w:val="24"/>
        </w:rPr>
        <w:t>三：</w:t>
      </w:r>
    </w:p>
    <w:p w14:paraId="7044E87C">
      <w:pPr>
        <w:spacing w:line="360" w:lineRule="auto"/>
        <w:jc w:val="center"/>
        <w:rPr>
          <w:rFonts w:hint="default" w:ascii="Times New Roman" w:hAnsi="Times New Roman" w:eastAsia="宋体" w:cs="Times New Roman"/>
          <w:color w:val="auto"/>
          <w:sz w:val="28"/>
          <w:szCs w:val="28"/>
          <w:highlight w:val="none"/>
        </w:rPr>
      </w:pPr>
      <w:r>
        <w:rPr>
          <w:rFonts w:hint="eastAsia" w:ascii="宋体" w:hAnsi="宋体"/>
          <w:b/>
          <w:bCs/>
          <w:sz w:val="24"/>
        </w:rPr>
        <w:t>售后服务承诺</w:t>
      </w:r>
    </w:p>
    <w:p w14:paraId="489F45A4">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18E5885">
      <w:pPr>
        <w:keepNext/>
        <w:tabs>
          <w:tab w:val="left" w:pos="2070"/>
          <w:tab w:val="center" w:pos="4365"/>
        </w:tabs>
        <w:adjustRightInd w:val="0"/>
        <w:snapToGrid w:val="0"/>
        <w:spacing w:line="360" w:lineRule="auto"/>
        <w:ind w:firstLine="643"/>
        <w:jc w:val="center"/>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第七部分  投标文件格式</w:t>
      </w:r>
      <w:bookmarkEnd w:id="47"/>
    </w:p>
    <w:p w14:paraId="67222617">
      <w:pPr>
        <w:keepNext/>
        <w:snapToGrid w:val="0"/>
        <w:spacing w:line="360" w:lineRule="auto"/>
        <w:ind w:firstLine="560"/>
        <w:jc w:val="left"/>
        <w:rPr>
          <w:rFonts w:hint="eastAsia" w:ascii="宋体" w:hAnsi="宋体" w:eastAsia="宋体" w:cs="宋体"/>
          <w:color w:val="auto"/>
          <w:kern w:val="0"/>
          <w:sz w:val="28"/>
          <w:highlight w:val="none"/>
        </w:rPr>
      </w:pPr>
    </w:p>
    <w:p w14:paraId="07CF1CA7">
      <w:pPr>
        <w:keepNext/>
        <w:tabs>
          <w:tab w:val="left" w:pos="-737"/>
        </w:tabs>
        <w:snapToGrid w:val="0"/>
        <w:spacing w:line="360" w:lineRule="auto"/>
        <w:ind w:firstLine="482"/>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一、投标人提交投标文件须知</w:t>
      </w:r>
    </w:p>
    <w:p w14:paraId="7F9C29EE">
      <w:pPr>
        <w:keepNext/>
        <w:tabs>
          <w:tab w:val="left" w:pos="0"/>
        </w:tabs>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1.投标人应严格按照以下顺序填写和提交下述规定的全部格式文件以及其他有关资料，混乱的编排导致投标文件被误读或查找不到，后果由投标人承担。</w:t>
      </w:r>
    </w:p>
    <w:p w14:paraId="3E5C8771">
      <w:pPr>
        <w:keepNext/>
        <w:tabs>
          <w:tab w:val="left" w:pos="0"/>
        </w:tabs>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2.所附表格中要求回答的全部问题和信息都必须正面回答。</w:t>
      </w:r>
    </w:p>
    <w:p w14:paraId="3E29640D">
      <w:pPr>
        <w:keepNext/>
        <w:tabs>
          <w:tab w:val="left" w:pos="0"/>
        </w:tabs>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3.资格声明的签字人应保证全部声明和问题的回答是真实的和准确的。</w:t>
      </w:r>
    </w:p>
    <w:p w14:paraId="5EAF1D12">
      <w:pPr>
        <w:keepNext/>
        <w:tabs>
          <w:tab w:val="left" w:pos="0"/>
        </w:tabs>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4.评标委员会将应用投标人提交的资料并根据自己的判断，决定投标人履行合同的合格性及能力。</w:t>
      </w:r>
    </w:p>
    <w:p w14:paraId="4CBACBE3">
      <w:pPr>
        <w:keepNext/>
        <w:tabs>
          <w:tab w:val="left" w:pos="0"/>
        </w:tabs>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5.投标人提交的材料将被妥善保存，但不退还。</w:t>
      </w:r>
    </w:p>
    <w:p w14:paraId="24E7C8D2">
      <w:pPr>
        <w:keepNext/>
        <w:tabs>
          <w:tab w:val="left" w:pos="0"/>
        </w:tabs>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6.全部文件应按投标人须知中规定的语言和份数提交。</w:t>
      </w:r>
    </w:p>
    <w:p w14:paraId="0E4A0CD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FE6B457">
      <w:pPr>
        <w:keepNext/>
        <w:tabs>
          <w:tab w:val="left" w:pos="4000"/>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投标文件（资格证明文件）封面格式</w:t>
      </w:r>
    </w:p>
    <w:p w14:paraId="2AAA38B5">
      <w:pPr>
        <w:keepNext/>
        <w:snapToGrid w:val="0"/>
        <w:spacing w:line="360" w:lineRule="auto"/>
        <w:ind w:firstLine="560"/>
        <w:jc w:val="right"/>
        <w:rPr>
          <w:rFonts w:hint="eastAsia" w:ascii="宋体" w:hAnsi="宋体" w:eastAsia="宋体" w:cs="宋体"/>
          <w:color w:val="auto"/>
          <w:kern w:val="0"/>
          <w:sz w:val="28"/>
          <w:szCs w:val="32"/>
          <w:highlight w:val="none"/>
        </w:rPr>
      </w:pPr>
    </w:p>
    <w:p w14:paraId="57E17810">
      <w:pPr>
        <w:keepNext/>
        <w:snapToGrid w:val="0"/>
        <w:spacing w:line="360" w:lineRule="auto"/>
        <w:ind w:firstLine="480"/>
        <w:jc w:val="right"/>
        <w:rPr>
          <w:rFonts w:hint="eastAsia" w:ascii="宋体" w:hAnsi="宋体" w:eastAsia="宋体" w:cs="宋体"/>
          <w:color w:val="auto"/>
          <w:kern w:val="0"/>
          <w:sz w:val="24"/>
          <w:highlight w:val="none"/>
        </w:rPr>
      </w:pPr>
    </w:p>
    <w:p w14:paraId="7A7EE6FB">
      <w:pPr>
        <w:keepNext/>
        <w:snapToGrid w:val="0"/>
        <w:spacing w:line="360" w:lineRule="auto"/>
        <w:ind w:firstLine="560"/>
        <w:jc w:val="right"/>
        <w:rPr>
          <w:rFonts w:hint="eastAsia" w:ascii="宋体" w:hAnsi="宋体" w:eastAsia="宋体" w:cs="宋体"/>
          <w:color w:val="auto"/>
          <w:kern w:val="0"/>
          <w:sz w:val="28"/>
          <w:szCs w:val="32"/>
          <w:highlight w:val="none"/>
        </w:rPr>
      </w:pPr>
    </w:p>
    <w:p w14:paraId="1F797EED">
      <w:pPr>
        <w:keepNext/>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投  标  文  件</w:t>
      </w:r>
    </w:p>
    <w:p w14:paraId="5A181EAD">
      <w:pPr>
        <w:keepNext/>
        <w:snapToGrid w:val="0"/>
        <w:spacing w:line="360" w:lineRule="auto"/>
        <w:ind w:firstLine="883"/>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（资格证明文件）</w:t>
      </w:r>
    </w:p>
    <w:p w14:paraId="4A92C614">
      <w:pPr>
        <w:keepNext/>
        <w:snapToGrid w:val="0"/>
        <w:spacing w:line="360" w:lineRule="auto"/>
        <w:ind w:firstLine="560"/>
        <w:jc w:val="left"/>
        <w:rPr>
          <w:rFonts w:hint="eastAsia" w:ascii="宋体" w:hAnsi="宋体" w:eastAsia="宋体" w:cs="宋体"/>
          <w:color w:val="auto"/>
          <w:kern w:val="0"/>
          <w:sz w:val="28"/>
          <w:szCs w:val="30"/>
          <w:highlight w:val="none"/>
        </w:rPr>
      </w:pPr>
    </w:p>
    <w:p w14:paraId="5326CD3E">
      <w:pPr>
        <w:keepNext/>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项目名称：</w:t>
      </w:r>
    </w:p>
    <w:p w14:paraId="0395E879">
      <w:pPr>
        <w:keepNext/>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项目编号：</w:t>
      </w:r>
    </w:p>
    <w:p w14:paraId="38249786">
      <w:pPr>
        <w:keepNext/>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包    号：</w:t>
      </w:r>
    </w:p>
    <w:p w14:paraId="7A44B717">
      <w:pPr>
        <w:pStyle w:val="6"/>
        <w:keepNext/>
        <w:ind w:firstLine="480"/>
        <w:rPr>
          <w:rFonts w:hint="eastAsia" w:ascii="宋体" w:hAnsi="宋体" w:eastAsia="宋体" w:cs="宋体"/>
          <w:color w:val="auto"/>
          <w:highlight w:val="none"/>
        </w:rPr>
      </w:pPr>
    </w:p>
    <w:p w14:paraId="6CCC63B0">
      <w:pPr>
        <w:pStyle w:val="6"/>
        <w:keepNext/>
        <w:ind w:firstLine="480"/>
        <w:rPr>
          <w:rFonts w:hint="eastAsia" w:ascii="宋体" w:hAnsi="宋体" w:eastAsia="宋体" w:cs="宋体"/>
          <w:color w:val="auto"/>
          <w:highlight w:val="none"/>
        </w:rPr>
      </w:pPr>
    </w:p>
    <w:p w14:paraId="530B5C2B">
      <w:pPr>
        <w:pStyle w:val="6"/>
        <w:keepNext/>
        <w:ind w:firstLine="480"/>
        <w:rPr>
          <w:rFonts w:hint="eastAsia" w:ascii="宋体" w:hAnsi="宋体" w:eastAsia="宋体" w:cs="宋体"/>
          <w:color w:val="auto"/>
          <w:highlight w:val="none"/>
        </w:rPr>
      </w:pPr>
    </w:p>
    <w:p w14:paraId="5CE18E6A">
      <w:pPr>
        <w:pStyle w:val="16"/>
        <w:keepNext/>
        <w:widowControl w:val="0"/>
        <w:ind w:firstLine="420"/>
        <w:rPr>
          <w:rFonts w:hint="eastAsia" w:ascii="宋体" w:hAnsi="宋体" w:eastAsia="宋体" w:cs="宋体"/>
          <w:color w:val="auto"/>
          <w:highlight w:val="none"/>
        </w:rPr>
      </w:pPr>
    </w:p>
    <w:p w14:paraId="30F95397">
      <w:pPr>
        <w:keepNext/>
        <w:snapToGrid w:val="0"/>
        <w:spacing w:line="360" w:lineRule="auto"/>
        <w:ind w:firstLine="560"/>
        <w:jc w:val="left"/>
        <w:rPr>
          <w:rFonts w:hint="eastAsia" w:ascii="宋体" w:hAnsi="宋体" w:eastAsia="宋体" w:cs="宋体"/>
          <w:color w:val="auto"/>
          <w:kern w:val="0"/>
          <w:sz w:val="28"/>
          <w:highlight w:val="none"/>
        </w:rPr>
      </w:pPr>
    </w:p>
    <w:p w14:paraId="6A4693D7">
      <w:pPr>
        <w:keepNext/>
        <w:snapToGrid w:val="0"/>
        <w:spacing w:line="360" w:lineRule="auto"/>
        <w:ind w:firstLine="560"/>
        <w:jc w:val="left"/>
        <w:rPr>
          <w:rFonts w:hint="eastAsia" w:ascii="宋体" w:hAnsi="宋体" w:eastAsia="宋体" w:cs="宋体"/>
          <w:color w:val="auto"/>
          <w:kern w:val="0"/>
          <w:sz w:val="28"/>
          <w:highlight w:val="none"/>
        </w:rPr>
      </w:pPr>
    </w:p>
    <w:p w14:paraId="28377A78">
      <w:pPr>
        <w:keepNext/>
        <w:snapToGrid w:val="0"/>
        <w:spacing w:line="360" w:lineRule="auto"/>
        <w:ind w:firstLine="560"/>
        <w:jc w:val="cente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 xml:space="preserve">投标人全称：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（盖章）</w:t>
      </w:r>
    </w:p>
    <w:p w14:paraId="5621D32E">
      <w:pPr>
        <w:keepNext/>
        <w:snapToGrid w:val="0"/>
        <w:spacing w:line="360" w:lineRule="auto"/>
        <w:ind w:firstLine="560"/>
        <w:jc w:val="cente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法定代表人（负责人）或授权代表：</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（签字或盖章）</w:t>
      </w:r>
    </w:p>
    <w:p w14:paraId="57676C55">
      <w:pPr>
        <w:keepNext/>
        <w:snapToGrid w:val="0"/>
        <w:spacing w:line="360" w:lineRule="auto"/>
        <w:ind w:firstLine="600"/>
        <w:rPr>
          <w:rFonts w:hint="eastAsia" w:ascii="宋体" w:hAnsi="宋体" w:eastAsia="宋体" w:cs="宋体"/>
          <w:color w:val="auto"/>
          <w:kern w:val="0"/>
          <w:sz w:val="30"/>
          <w:szCs w:val="30"/>
          <w:highlight w:val="none"/>
          <w:u w:val="single"/>
        </w:rPr>
      </w:pPr>
    </w:p>
    <w:p w14:paraId="4EFFC2AB">
      <w:pPr>
        <w:pStyle w:val="37"/>
        <w:keepNext/>
        <w:ind w:firstLine="468"/>
        <w:rPr>
          <w:rFonts w:hint="eastAsia" w:ascii="宋体" w:hAnsi="宋体" w:eastAsia="宋体" w:cs="宋体"/>
          <w:color w:val="auto"/>
          <w:highlight w:val="none"/>
          <w:lang w:eastAsia="zh-CN"/>
        </w:rPr>
      </w:pPr>
    </w:p>
    <w:p w14:paraId="7DD7A2C9">
      <w:pPr>
        <w:pStyle w:val="37"/>
        <w:keepNext/>
        <w:ind w:firstLine="468"/>
        <w:rPr>
          <w:rFonts w:hint="eastAsia" w:ascii="宋体" w:hAnsi="宋体" w:eastAsia="宋体" w:cs="宋体"/>
          <w:color w:val="auto"/>
          <w:highlight w:val="none"/>
          <w:lang w:eastAsia="zh-CN"/>
        </w:rPr>
      </w:pPr>
    </w:p>
    <w:p w14:paraId="3213747D">
      <w:pPr>
        <w:pStyle w:val="37"/>
        <w:keepNext/>
        <w:ind w:firstLine="468"/>
        <w:rPr>
          <w:rFonts w:hint="eastAsia" w:ascii="宋体" w:hAnsi="宋体" w:eastAsia="宋体" w:cs="宋体"/>
          <w:color w:val="auto"/>
          <w:highlight w:val="none"/>
          <w:lang w:eastAsia="zh-CN"/>
        </w:rPr>
      </w:pPr>
    </w:p>
    <w:p w14:paraId="13A5E249">
      <w:pPr>
        <w:keepNext/>
        <w:snapToGrid w:val="0"/>
        <w:spacing w:line="360" w:lineRule="auto"/>
        <w:ind w:firstLine="600"/>
        <w:jc w:val="center"/>
        <w:rPr>
          <w:rFonts w:hint="eastAsia" w:ascii="宋体" w:hAnsi="宋体" w:eastAsia="宋体" w:cs="宋体"/>
          <w:color w:val="auto"/>
          <w:kern w:val="0"/>
          <w:sz w:val="30"/>
          <w:szCs w:val="30"/>
          <w:highlight w:val="none"/>
        </w:rPr>
      </w:pPr>
    </w:p>
    <w:p w14:paraId="50D43394">
      <w:pPr>
        <w:keepNext/>
        <w:snapToGrid w:val="0"/>
        <w:spacing w:line="360" w:lineRule="auto"/>
        <w:ind w:firstLine="600"/>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二〇二</w:t>
      </w:r>
      <w:r>
        <w:rPr>
          <w:rFonts w:hint="eastAsia" w:ascii="宋体" w:hAnsi="宋体" w:cs="宋体"/>
          <w:color w:val="auto"/>
          <w:kern w:val="0"/>
          <w:sz w:val="30"/>
          <w:szCs w:val="30"/>
          <w:highlight w:val="none"/>
          <w:lang w:val="en-US" w:eastAsia="zh-CN"/>
        </w:rPr>
        <w:t>五</w:t>
      </w:r>
      <w:r>
        <w:rPr>
          <w:rFonts w:hint="eastAsia" w:ascii="宋体" w:hAnsi="宋体" w:eastAsia="宋体" w:cs="宋体"/>
          <w:color w:val="auto"/>
          <w:kern w:val="0"/>
          <w:sz w:val="30"/>
          <w:szCs w:val="30"/>
          <w:highlight w:val="none"/>
        </w:rPr>
        <w:t>年   月   日</w:t>
      </w:r>
    </w:p>
    <w:p w14:paraId="28CCD0BE">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151D325B">
      <w:pPr>
        <w:keepNext/>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目录格式</w:t>
      </w:r>
    </w:p>
    <w:p w14:paraId="11E0987A">
      <w:pPr>
        <w:keepNext/>
        <w:spacing w:line="360" w:lineRule="auto"/>
        <w:ind w:firstLine="482"/>
        <w:jc w:val="center"/>
        <w:rPr>
          <w:rFonts w:hint="eastAsia" w:ascii="宋体" w:hAnsi="宋体" w:eastAsia="宋体" w:cs="宋体"/>
          <w:b/>
          <w:bCs/>
          <w:color w:val="auto"/>
          <w:sz w:val="24"/>
          <w:highlight w:val="none"/>
        </w:rPr>
      </w:pPr>
    </w:p>
    <w:p w14:paraId="3730448B">
      <w:pPr>
        <w:keepNext/>
        <w:spacing w:line="360" w:lineRule="auto"/>
        <w:ind w:firstLine="64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168C655D">
      <w:pPr>
        <w:keepNext/>
        <w:spacing w:before="120" w:beforeLines="50" w:after="120" w:afterLines="50" w:line="360" w:lineRule="auto"/>
        <w:ind w:firstLine="48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资格证明文件部分</w:t>
      </w:r>
    </w:p>
    <w:p w14:paraId="663A55A6">
      <w:pPr>
        <w:pStyle w:val="16"/>
        <w:keepNext/>
        <w:widowControl w:val="0"/>
        <w:ind w:firstLine="420"/>
        <w:rPr>
          <w:rFonts w:hint="eastAsia" w:ascii="宋体" w:hAnsi="宋体" w:eastAsia="宋体" w:cs="宋体"/>
          <w:color w:val="auto"/>
          <w:highlight w:val="none"/>
        </w:rPr>
      </w:pPr>
    </w:p>
    <w:p w14:paraId="44622E4B">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1.具有独立承担民事责任的能力的信用承诺书</w:t>
      </w:r>
      <w:r>
        <w:rPr>
          <w:rFonts w:hint="eastAsia" w:ascii="宋体" w:hAnsi="宋体" w:eastAsia="宋体" w:cs="宋体"/>
          <w:color w:val="auto"/>
          <w:kern w:val="0"/>
          <w:sz w:val="24"/>
          <w:szCs w:val="22"/>
          <w:highlight w:val="none"/>
        </w:rPr>
        <w:t>……………………………………</w:t>
      </w:r>
    </w:p>
    <w:p w14:paraId="5AF01AE5">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2.具有良好的商业信誉和健全的财务会计制度的信用承诺书</w:t>
      </w:r>
      <w:r>
        <w:rPr>
          <w:rFonts w:hint="eastAsia" w:ascii="宋体" w:hAnsi="宋体" w:eastAsia="宋体" w:cs="宋体"/>
          <w:color w:val="auto"/>
          <w:kern w:val="0"/>
          <w:sz w:val="24"/>
          <w:szCs w:val="22"/>
          <w:highlight w:val="none"/>
        </w:rPr>
        <w:t>……………………</w:t>
      </w:r>
    </w:p>
    <w:p w14:paraId="66034961">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3.具有履行合同所必需的设备和专业技术能力的信用承诺书</w:t>
      </w:r>
      <w:r>
        <w:rPr>
          <w:rFonts w:hint="eastAsia" w:ascii="宋体" w:hAnsi="宋体" w:eastAsia="宋体" w:cs="宋体"/>
          <w:color w:val="auto"/>
          <w:kern w:val="0"/>
          <w:sz w:val="24"/>
          <w:szCs w:val="22"/>
          <w:highlight w:val="none"/>
        </w:rPr>
        <w:t>……………………</w:t>
      </w:r>
    </w:p>
    <w:p w14:paraId="25E21633">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4.有依法缴纳税收和社会保障资金的良好记录的信用承诺书</w:t>
      </w:r>
      <w:r>
        <w:rPr>
          <w:rFonts w:hint="eastAsia" w:ascii="宋体" w:hAnsi="宋体" w:eastAsia="宋体" w:cs="宋体"/>
          <w:color w:val="auto"/>
          <w:kern w:val="0"/>
          <w:sz w:val="24"/>
          <w:szCs w:val="22"/>
          <w:highlight w:val="none"/>
        </w:rPr>
        <w:t>……………………</w:t>
      </w:r>
    </w:p>
    <w:p w14:paraId="70A29F82">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5.参加政府采购活动前三年内，在经营活动中没有重大违法记录的信用承诺书</w:t>
      </w:r>
      <w:r>
        <w:rPr>
          <w:rFonts w:hint="eastAsia" w:ascii="宋体" w:hAnsi="宋体" w:eastAsia="宋体" w:cs="宋体"/>
          <w:color w:val="auto"/>
          <w:kern w:val="0"/>
          <w:sz w:val="24"/>
          <w:szCs w:val="22"/>
          <w:highlight w:val="none"/>
        </w:rPr>
        <w:t>…</w:t>
      </w:r>
    </w:p>
    <w:p w14:paraId="2C15C740">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6.不存在单位负责人为同一人或者存在直接控股、管理关系的不同投标人参加同一合同项下的政府采购活动的信用承诺书…………………………………………</w:t>
      </w:r>
    </w:p>
    <w:p w14:paraId="65068892">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7.投标人廉洁自律信用承诺书………………………………………………………</w:t>
      </w:r>
    </w:p>
    <w:p w14:paraId="145EB90F">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8.落实政府采购政策需满足的资格要求的证明材料………………………………</w:t>
      </w:r>
    </w:p>
    <w:p w14:paraId="09483A8F">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9.投标人应具备的特定资格要求证明材料…………………………………………</w:t>
      </w:r>
    </w:p>
    <w:p w14:paraId="5571376E">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10.</w:t>
      </w:r>
      <w:r>
        <w:rPr>
          <w:rFonts w:hint="eastAsia" w:ascii="宋体" w:hAnsi="宋体" w:eastAsia="宋体" w:cs="宋体"/>
          <w:color w:val="auto"/>
          <w:sz w:val="24"/>
          <w:szCs w:val="22"/>
          <w:highlight w:val="none"/>
        </w:rPr>
        <w:t>投标保证金提交凭证……………………………………………………………</w:t>
      </w:r>
    </w:p>
    <w:p w14:paraId="273DAC32">
      <w:pPr>
        <w:pStyle w:val="10"/>
        <w:keepNext/>
        <w:topLinePunct/>
        <w:adjustRightInd w:val="0"/>
        <w:snapToGrid w:val="0"/>
        <w:spacing w:line="360" w:lineRule="auto"/>
        <w:ind w:firstLine="480"/>
        <w:jc w:val="left"/>
        <w:rPr>
          <w:rFonts w:hint="default" w:ascii="宋体" w:hAnsi="宋体" w:eastAsia="宋体" w:cs="宋体"/>
          <w:color w:val="auto"/>
          <w:sz w:val="24"/>
          <w:szCs w:val="22"/>
          <w:highlight w:val="none"/>
          <w:lang w:val="en-US" w:eastAsia="zh-CN"/>
        </w:rPr>
      </w:pPr>
    </w:p>
    <w:p w14:paraId="36EC59AC">
      <w:pPr>
        <w:pStyle w:val="10"/>
        <w:keepNext/>
        <w:topLinePunct/>
        <w:adjustRightInd w:val="0"/>
        <w:snapToGrid w:val="0"/>
        <w:spacing w:line="360" w:lineRule="auto"/>
        <w:ind w:firstLine="480"/>
        <w:jc w:val="left"/>
        <w:rPr>
          <w:rFonts w:hint="eastAsia" w:ascii="宋体" w:hAnsi="宋体" w:eastAsia="宋体" w:cs="宋体"/>
          <w:color w:val="auto"/>
          <w:sz w:val="24"/>
          <w:szCs w:val="22"/>
          <w:highlight w:val="none"/>
        </w:rPr>
      </w:pPr>
    </w:p>
    <w:p w14:paraId="583F92E8">
      <w:pPr>
        <w:bidi w:val="0"/>
        <w:rPr>
          <w:rFonts w:hint="eastAsia"/>
          <w:color w:val="auto"/>
          <w:highlight w:val="none"/>
        </w:rPr>
      </w:pPr>
      <w:r>
        <w:rPr>
          <w:rFonts w:hint="eastAsia"/>
          <w:color w:val="auto"/>
          <w:highlight w:val="none"/>
        </w:rPr>
        <w:br w:type="page"/>
      </w:r>
    </w:p>
    <w:p w14:paraId="64B8405F">
      <w:pPr>
        <w:keepNext/>
        <w:tabs>
          <w:tab w:val="left" w:pos="2070"/>
          <w:tab w:val="center" w:pos="4365"/>
        </w:tabs>
        <w:snapToGrid w:val="0"/>
        <w:spacing w:line="360" w:lineRule="auto"/>
        <w:ind w:firstLine="643"/>
        <w:jc w:val="center"/>
        <w:outlineLvl w:val="1"/>
        <w:rPr>
          <w:rFonts w:hint="eastAsia" w:ascii="宋体" w:hAnsi="宋体" w:eastAsia="宋体" w:cs="宋体"/>
          <w:b/>
          <w:color w:val="auto"/>
          <w:kern w:val="0"/>
          <w:sz w:val="32"/>
          <w:szCs w:val="32"/>
          <w:highlight w:val="none"/>
        </w:rPr>
      </w:pPr>
      <w:bookmarkStart w:id="61" w:name="_Toc180347475"/>
      <w:r>
        <w:rPr>
          <w:rFonts w:hint="eastAsia" w:ascii="宋体" w:hAnsi="宋体" w:eastAsia="宋体" w:cs="宋体"/>
          <w:b/>
          <w:color w:val="auto"/>
          <w:kern w:val="0"/>
          <w:sz w:val="32"/>
          <w:szCs w:val="32"/>
          <w:highlight w:val="none"/>
        </w:rPr>
        <w:t>资格证明文件</w:t>
      </w:r>
      <w:bookmarkEnd w:id="61"/>
    </w:p>
    <w:p w14:paraId="45D04B08">
      <w:pPr>
        <w:keepNext/>
        <w:topLinePunct/>
        <w:adjustRightInd w:val="0"/>
        <w:snapToGrid w:val="0"/>
        <w:spacing w:line="360" w:lineRule="auto"/>
        <w:outlineLvl w:val="2"/>
        <w:rPr>
          <w:rFonts w:hint="eastAsia" w:ascii="宋体" w:hAnsi="宋体" w:eastAsia="宋体" w:cs="宋体"/>
          <w:b/>
          <w:color w:val="auto"/>
          <w:sz w:val="24"/>
          <w:highlight w:val="none"/>
        </w:rPr>
      </w:pPr>
      <w:bookmarkStart w:id="62" w:name="_Toc180347476"/>
      <w:r>
        <w:rPr>
          <w:rFonts w:hint="eastAsia" w:ascii="宋体" w:hAnsi="宋体" w:eastAsia="宋体" w:cs="宋体"/>
          <w:b/>
          <w:color w:val="auto"/>
          <w:kern w:val="0"/>
          <w:sz w:val="24"/>
          <w:highlight w:val="none"/>
        </w:rPr>
        <w:t>1．具有</w:t>
      </w:r>
      <w:r>
        <w:rPr>
          <w:rFonts w:hint="eastAsia" w:ascii="宋体" w:hAnsi="宋体" w:eastAsia="宋体" w:cs="宋体"/>
          <w:b/>
          <w:color w:val="auto"/>
          <w:sz w:val="24"/>
          <w:highlight w:val="none"/>
        </w:rPr>
        <w:t>独立承担民事责任的能力的信用承诺书</w:t>
      </w:r>
      <w:bookmarkEnd w:id="62"/>
    </w:p>
    <w:p w14:paraId="3D8EFC96">
      <w:pPr>
        <w:keepNext/>
        <w:topLinePunct/>
        <w:adjustRightInd w:val="0"/>
        <w:snapToGrid w:val="0"/>
        <w:spacing w:line="360" w:lineRule="auto"/>
        <w:ind w:firstLine="482"/>
        <w:jc w:val="center"/>
        <w:rPr>
          <w:rFonts w:hint="eastAsia" w:ascii="宋体" w:hAnsi="宋体" w:eastAsia="宋体" w:cs="宋体"/>
          <w:color w:val="auto"/>
          <w:sz w:val="24"/>
          <w:highlight w:val="none"/>
          <w:u w:val="single"/>
        </w:rPr>
      </w:pPr>
      <w:r>
        <w:rPr>
          <w:rFonts w:hint="eastAsia" w:ascii="宋体" w:hAnsi="宋体" w:eastAsia="宋体" w:cs="宋体"/>
          <w:b/>
          <w:color w:val="auto"/>
          <w:kern w:val="0"/>
          <w:sz w:val="24"/>
          <w:highlight w:val="none"/>
        </w:rPr>
        <w:t>投标人具有</w:t>
      </w:r>
      <w:r>
        <w:rPr>
          <w:rFonts w:hint="eastAsia" w:ascii="宋体" w:hAnsi="宋体" w:eastAsia="宋体" w:cs="宋体"/>
          <w:b/>
          <w:color w:val="auto"/>
          <w:sz w:val="24"/>
          <w:highlight w:val="none"/>
        </w:rPr>
        <w:t>独立承担民事责任的能力的信用承诺书</w:t>
      </w:r>
    </w:p>
    <w:p w14:paraId="284578C2">
      <w:pPr>
        <w:keepNext/>
        <w:topLinePunct/>
        <w:ind w:firstLine="480"/>
        <w:rPr>
          <w:rFonts w:hint="eastAsia" w:ascii="宋体" w:hAnsi="宋体" w:eastAsia="宋体" w:cs="宋体"/>
          <w:color w:val="auto"/>
          <w:sz w:val="24"/>
          <w:highlight w:val="none"/>
          <w:u w:val="single"/>
        </w:rPr>
      </w:pPr>
    </w:p>
    <w:p w14:paraId="51142CB0">
      <w:pPr>
        <w:keepNext/>
        <w:topLinePunct/>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采购代理机构名称  ：</w:t>
      </w:r>
    </w:p>
    <w:p w14:paraId="31C5CF78">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（包号）</w:t>
      </w:r>
      <w:r>
        <w:rPr>
          <w:rFonts w:hint="eastAsia" w:ascii="宋体" w:hAnsi="宋体" w:eastAsia="宋体" w:cs="宋体"/>
          <w:color w:val="auto"/>
          <w:sz w:val="24"/>
          <w:highlight w:val="none"/>
        </w:rPr>
        <w:t>）的采购活动。依据招标文件相关规定，现郑重承诺：</w:t>
      </w:r>
    </w:p>
    <w:p w14:paraId="0FC12873">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3214EE12">
      <w:pPr>
        <w:keepNext/>
        <w:topLinePunct/>
        <w:adjustRightInd w:val="0"/>
        <w:snapToGrid w:val="0"/>
        <w:spacing w:line="360" w:lineRule="auto"/>
        <w:ind w:firstLine="482" w:firstLineChars="200"/>
        <w:rPr>
          <w:b/>
          <w:bCs/>
          <w:color w:val="auto"/>
          <w:sz w:val="24"/>
          <w:highlight w:val="none"/>
        </w:rPr>
      </w:pPr>
      <w:r>
        <w:rPr>
          <w:rFonts w:hint="eastAsia"/>
          <w:b/>
          <w:bCs/>
          <w:color w:val="auto"/>
          <w:sz w:val="24"/>
          <w:highlight w:val="none"/>
          <w:lang w:val="en-US" w:eastAsia="zh-CN"/>
        </w:rPr>
        <w:t>我公司</w:t>
      </w:r>
      <w:r>
        <w:rPr>
          <w:b/>
          <w:bCs/>
          <w:color w:val="auto"/>
          <w:sz w:val="24"/>
          <w:highlight w:val="none"/>
        </w:rPr>
        <w:t>基本信息如下：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31E1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67339F1">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单位</w:t>
            </w:r>
            <w:r>
              <w:rPr>
                <w:rFonts w:ascii="宋体" w:hAnsi="宋体"/>
                <w:color w:val="auto"/>
                <w:sz w:val="24"/>
                <w:highlight w:val="none"/>
              </w:rPr>
              <w:t>名称</w:t>
            </w:r>
          </w:p>
        </w:tc>
        <w:tc>
          <w:tcPr>
            <w:tcW w:w="6425" w:type="dxa"/>
            <w:gridSpan w:val="3"/>
            <w:vAlign w:val="center"/>
          </w:tcPr>
          <w:p w14:paraId="7F587AB4">
            <w:pPr>
              <w:keepNext/>
              <w:topLinePunct/>
              <w:adjustRightInd w:val="0"/>
              <w:snapToGrid w:val="0"/>
              <w:rPr>
                <w:rFonts w:ascii="宋体" w:hAnsi="宋体"/>
                <w:color w:val="auto"/>
                <w:sz w:val="24"/>
                <w:highlight w:val="none"/>
              </w:rPr>
            </w:pPr>
          </w:p>
        </w:tc>
      </w:tr>
      <w:tr w14:paraId="56E1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F61F8E8">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注册地址</w:t>
            </w:r>
          </w:p>
        </w:tc>
        <w:tc>
          <w:tcPr>
            <w:tcW w:w="6425" w:type="dxa"/>
            <w:gridSpan w:val="3"/>
            <w:vAlign w:val="center"/>
          </w:tcPr>
          <w:p w14:paraId="635117EB">
            <w:pPr>
              <w:keepNext/>
              <w:topLinePunct/>
              <w:adjustRightInd w:val="0"/>
              <w:snapToGrid w:val="0"/>
              <w:rPr>
                <w:rFonts w:ascii="宋体" w:hAnsi="宋体"/>
                <w:color w:val="auto"/>
                <w:sz w:val="24"/>
                <w:highlight w:val="none"/>
              </w:rPr>
            </w:pPr>
          </w:p>
        </w:tc>
      </w:tr>
      <w:tr w14:paraId="156C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EE98CFB">
            <w:pPr>
              <w:keepNext/>
              <w:topLinePunct/>
              <w:adjustRightInd w:val="0"/>
              <w:snapToGrid w:val="0"/>
              <w:jc w:val="center"/>
              <w:rPr>
                <w:rFonts w:ascii="宋体" w:hAnsi="宋体"/>
                <w:color w:val="auto"/>
                <w:sz w:val="24"/>
                <w:highlight w:val="none"/>
              </w:rPr>
            </w:pPr>
            <w:r>
              <w:rPr>
                <w:rFonts w:ascii="宋体" w:hAnsi="宋体"/>
                <w:color w:val="auto"/>
                <w:sz w:val="24"/>
                <w:highlight w:val="none"/>
              </w:rPr>
              <w:t>统一社会信用代码</w:t>
            </w:r>
          </w:p>
        </w:tc>
        <w:tc>
          <w:tcPr>
            <w:tcW w:w="3576" w:type="dxa"/>
            <w:vAlign w:val="center"/>
          </w:tcPr>
          <w:p w14:paraId="72074128">
            <w:pPr>
              <w:keepNext/>
              <w:topLinePunct/>
              <w:adjustRightInd w:val="0"/>
              <w:snapToGrid w:val="0"/>
              <w:rPr>
                <w:rFonts w:ascii="宋体" w:hAnsi="宋体"/>
                <w:color w:val="auto"/>
                <w:sz w:val="24"/>
                <w:highlight w:val="none"/>
              </w:rPr>
            </w:pPr>
          </w:p>
        </w:tc>
        <w:tc>
          <w:tcPr>
            <w:tcW w:w="1248" w:type="dxa"/>
            <w:vAlign w:val="center"/>
          </w:tcPr>
          <w:p w14:paraId="2AB27833">
            <w:pPr>
              <w:keepNext/>
              <w:topLinePunct/>
              <w:adjustRightInd w:val="0"/>
              <w:snapToGrid w:val="0"/>
              <w:rPr>
                <w:rFonts w:ascii="宋体" w:hAnsi="宋体"/>
                <w:color w:val="auto"/>
                <w:sz w:val="24"/>
                <w:highlight w:val="none"/>
              </w:rPr>
            </w:pPr>
            <w:r>
              <w:rPr>
                <w:rFonts w:hint="eastAsia" w:ascii="宋体" w:hAnsi="宋体"/>
                <w:color w:val="auto"/>
                <w:sz w:val="24"/>
                <w:highlight w:val="none"/>
              </w:rPr>
              <w:t>注册资金</w:t>
            </w:r>
          </w:p>
        </w:tc>
        <w:tc>
          <w:tcPr>
            <w:tcW w:w="1601" w:type="dxa"/>
            <w:vAlign w:val="center"/>
          </w:tcPr>
          <w:p w14:paraId="64CB1488">
            <w:pPr>
              <w:keepNext/>
              <w:topLinePunct/>
              <w:adjustRightInd w:val="0"/>
              <w:snapToGrid w:val="0"/>
              <w:rPr>
                <w:rFonts w:ascii="宋体" w:hAnsi="宋体"/>
                <w:color w:val="auto"/>
                <w:sz w:val="24"/>
                <w:highlight w:val="none"/>
              </w:rPr>
            </w:pPr>
          </w:p>
        </w:tc>
      </w:tr>
      <w:tr w14:paraId="7BA1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B11A57D">
            <w:pPr>
              <w:keepNext/>
              <w:topLinePunct/>
              <w:adjustRightInd w:val="0"/>
              <w:snapToGrid w:val="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注册时间</w:t>
            </w:r>
          </w:p>
        </w:tc>
        <w:tc>
          <w:tcPr>
            <w:tcW w:w="3576" w:type="dxa"/>
            <w:vAlign w:val="center"/>
          </w:tcPr>
          <w:p w14:paraId="6AE0A0C3">
            <w:pPr>
              <w:keepNext/>
              <w:topLinePunct/>
              <w:adjustRightInd w:val="0"/>
              <w:snapToGrid w:val="0"/>
              <w:rPr>
                <w:rFonts w:ascii="宋体" w:hAnsi="宋体"/>
                <w:color w:val="auto"/>
                <w:sz w:val="24"/>
                <w:highlight w:val="none"/>
              </w:rPr>
            </w:pPr>
          </w:p>
        </w:tc>
        <w:tc>
          <w:tcPr>
            <w:tcW w:w="1248" w:type="dxa"/>
            <w:vAlign w:val="center"/>
          </w:tcPr>
          <w:p w14:paraId="172714D9">
            <w:pPr>
              <w:keepNext/>
              <w:topLinePunct/>
              <w:adjustRightInd w:val="0"/>
              <w:snapToGrid w:val="0"/>
              <w:rPr>
                <w:rFonts w:ascii="宋体" w:hAnsi="宋体"/>
                <w:color w:val="auto"/>
                <w:sz w:val="24"/>
                <w:highlight w:val="none"/>
              </w:rPr>
            </w:pPr>
            <w:r>
              <w:rPr>
                <w:rFonts w:ascii="宋体" w:hAnsi="宋体"/>
                <w:color w:val="auto"/>
                <w:sz w:val="24"/>
                <w:highlight w:val="none"/>
              </w:rPr>
              <w:t>营业期限</w:t>
            </w:r>
          </w:p>
        </w:tc>
        <w:tc>
          <w:tcPr>
            <w:tcW w:w="1601" w:type="dxa"/>
            <w:vAlign w:val="center"/>
          </w:tcPr>
          <w:p w14:paraId="5C202519">
            <w:pPr>
              <w:keepNext/>
              <w:topLinePunct/>
              <w:adjustRightInd w:val="0"/>
              <w:snapToGrid w:val="0"/>
              <w:rPr>
                <w:rFonts w:ascii="宋体" w:hAnsi="宋体"/>
                <w:color w:val="auto"/>
                <w:sz w:val="24"/>
                <w:highlight w:val="none"/>
              </w:rPr>
            </w:pPr>
          </w:p>
        </w:tc>
      </w:tr>
      <w:tr w14:paraId="3FA9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AF10A9C">
            <w:pPr>
              <w:keepNext/>
              <w:topLinePunct/>
              <w:adjustRightInd w:val="0"/>
              <w:snapToGrid w:val="0"/>
              <w:jc w:val="center"/>
              <w:rPr>
                <w:rFonts w:ascii="宋体" w:hAnsi="宋体"/>
                <w:color w:val="auto"/>
                <w:sz w:val="24"/>
                <w:highlight w:val="none"/>
              </w:rPr>
            </w:pPr>
            <w:r>
              <w:rPr>
                <w:rFonts w:ascii="宋体" w:hAnsi="宋体"/>
                <w:color w:val="auto"/>
                <w:sz w:val="24"/>
                <w:highlight w:val="none"/>
              </w:rPr>
              <w:t>法定代表人（负责人）</w:t>
            </w:r>
          </w:p>
        </w:tc>
        <w:tc>
          <w:tcPr>
            <w:tcW w:w="3576" w:type="dxa"/>
            <w:vAlign w:val="center"/>
          </w:tcPr>
          <w:p w14:paraId="208682C0">
            <w:pPr>
              <w:keepNext/>
              <w:topLinePunct/>
              <w:adjustRightInd w:val="0"/>
              <w:snapToGrid w:val="0"/>
              <w:rPr>
                <w:rFonts w:ascii="宋体" w:hAnsi="宋体"/>
                <w:color w:val="auto"/>
                <w:sz w:val="24"/>
                <w:highlight w:val="none"/>
              </w:rPr>
            </w:pPr>
          </w:p>
        </w:tc>
        <w:tc>
          <w:tcPr>
            <w:tcW w:w="1248" w:type="dxa"/>
            <w:vAlign w:val="center"/>
          </w:tcPr>
          <w:p w14:paraId="4D097A29">
            <w:pPr>
              <w:keepNext/>
              <w:topLinePunct/>
              <w:adjustRightInd w:val="0"/>
              <w:snapToGrid w:val="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性    别</w:t>
            </w:r>
          </w:p>
        </w:tc>
        <w:tc>
          <w:tcPr>
            <w:tcW w:w="1601" w:type="dxa"/>
            <w:vAlign w:val="center"/>
          </w:tcPr>
          <w:p w14:paraId="634D3A8B">
            <w:pPr>
              <w:keepNext/>
              <w:topLinePunct/>
              <w:adjustRightInd w:val="0"/>
              <w:snapToGrid w:val="0"/>
              <w:rPr>
                <w:rFonts w:ascii="宋体" w:hAnsi="宋体"/>
                <w:color w:val="auto"/>
                <w:sz w:val="24"/>
                <w:highlight w:val="none"/>
              </w:rPr>
            </w:pPr>
          </w:p>
        </w:tc>
      </w:tr>
      <w:tr w14:paraId="6E08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2FA793A">
            <w:pPr>
              <w:keepNext/>
              <w:topLinePunct/>
              <w:adjustRightInd w:val="0"/>
              <w:snapToGrid w:val="0"/>
              <w:jc w:val="center"/>
              <w:rPr>
                <w:rFonts w:ascii="宋体" w:hAnsi="宋体"/>
                <w:color w:val="auto"/>
                <w:sz w:val="24"/>
                <w:highlight w:val="none"/>
              </w:rPr>
            </w:pPr>
            <w:r>
              <w:rPr>
                <w:rFonts w:ascii="宋体" w:hAnsi="宋体"/>
                <w:color w:val="auto"/>
                <w:sz w:val="24"/>
                <w:highlight w:val="none"/>
              </w:rPr>
              <w:t>基本开户银行</w:t>
            </w:r>
          </w:p>
        </w:tc>
        <w:tc>
          <w:tcPr>
            <w:tcW w:w="6425" w:type="dxa"/>
            <w:gridSpan w:val="3"/>
            <w:vAlign w:val="center"/>
          </w:tcPr>
          <w:p w14:paraId="5B141E3C">
            <w:pPr>
              <w:keepNext/>
              <w:topLinePunct/>
              <w:adjustRightInd w:val="0"/>
              <w:snapToGrid w:val="0"/>
              <w:rPr>
                <w:rFonts w:ascii="宋体" w:hAnsi="宋体"/>
                <w:color w:val="auto"/>
                <w:sz w:val="24"/>
                <w:highlight w:val="none"/>
              </w:rPr>
            </w:pPr>
          </w:p>
        </w:tc>
      </w:tr>
      <w:tr w14:paraId="3F5F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9BFE6D5">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银行</w:t>
            </w:r>
            <w:r>
              <w:rPr>
                <w:rFonts w:ascii="宋体" w:hAnsi="宋体"/>
                <w:color w:val="auto"/>
                <w:sz w:val="24"/>
                <w:highlight w:val="none"/>
              </w:rPr>
              <w:t>账号</w:t>
            </w:r>
          </w:p>
        </w:tc>
        <w:tc>
          <w:tcPr>
            <w:tcW w:w="3576" w:type="dxa"/>
            <w:vAlign w:val="center"/>
          </w:tcPr>
          <w:p w14:paraId="5E5B2071">
            <w:pPr>
              <w:keepNext/>
              <w:topLinePunct/>
              <w:adjustRightInd w:val="0"/>
              <w:snapToGrid w:val="0"/>
              <w:rPr>
                <w:rFonts w:ascii="宋体" w:hAnsi="宋体"/>
                <w:color w:val="auto"/>
                <w:sz w:val="24"/>
                <w:highlight w:val="none"/>
              </w:rPr>
            </w:pPr>
          </w:p>
        </w:tc>
        <w:tc>
          <w:tcPr>
            <w:tcW w:w="1248" w:type="dxa"/>
            <w:vAlign w:val="center"/>
          </w:tcPr>
          <w:p w14:paraId="36ABA56C">
            <w:pPr>
              <w:keepNext/>
              <w:topLinePunct/>
              <w:adjustRightInd w:val="0"/>
              <w:snapToGrid w:val="0"/>
              <w:rPr>
                <w:rFonts w:ascii="宋体" w:hAnsi="宋体"/>
                <w:color w:val="auto"/>
                <w:sz w:val="24"/>
                <w:highlight w:val="none"/>
              </w:rPr>
            </w:pPr>
            <w:r>
              <w:rPr>
                <w:rFonts w:ascii="宋体" w:hAnsi="宋体"/>
                <w:color w:val="auto"/>
                <w:sz w:val="24"/>
                <w:highlight w:val="none"/>
              </w:rPr>
              <w:t>银行行号</w:t>
            </w:r>
          </w:p>
        </w:tc>
        <w:tc>
          <w:tcPr>
            <w:tcW w:w="1601" w:type="dxa"/>
            <w:vAlign w:val="center"/>
          </w:tcPr>
          <w:p w14:paraId="42E6612B">
            <w:pPr>
              <w:keepNext/>
              <w:topLinePunct/>
              <w:adjustRightInd w:val="0"/>
              <w:snapToGrid w:val="0"/>
              <w:rPr>
                <w:rFonts w:ascii="宋体" w:hAnsi="宋体"/>
                <w:color w:val="auto"/>
                <w:sz w:val="24"/>
                <w:highlight w:val="none"/>
              </w:rPr>
            </w:pPr>
          </w:p>
        </w:tc>
      </w:tr>
      <w:tr w14:paraId="0DE9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2F36B2D">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企业划型标准</w:t>
            </w:r>
          </w:p>
        </w:tc>
        <w:tc>
          <w:tcPr>
            <w:tcW w:w="6425" w:type="dxa"/>
            <w:gridSpan w:val="3"/>
            <w:vAlign w:val="center"/>
          </w:tcPr>
          <w:p w14:paraId="248E3088">
            <w:pPr>
              <w:keepNext/>
              <w:topLinePunct/>
              <w:adjustRightInd w:val="0"/>
              <w:snapToGrid w:val="0"/>
              <w:rPr>
                <w:rFonts w:ascii="宋体" w:hAnsi="宋体"/>
                <w:color w:val="auto"/>
                <w:sz w:val="24"/>
                <w:highlight w:val="none"/>
              </w:rPr>
            </w:pPr>
            <w:r>
              <w:rPr>
                <w:rFonts w:ascii="宋体" w:hAnsi="宋体"/>
                <w:color w:val="auto"/>
                <w:sz w:val="24"/>
                <w:highlight w:val="none"/>
              </w:rPr>
              <w:sym w:font="Wingdings 2" w:char="00A3"/>
            </w:r>
            <w:r>
              <w:rPr>
                <w:rFonts w:hint="eastAsia" w:ascii="宋体" w:hAnsi="宋体"/>
                <w:color w:val="auto"/>
                <w:sz w:val="24"/>
                <w:highlight w:val="none"/>
              </w:rPr>
              <w:t xml:space="preserve">大型企业   </w:t>
            </w:r>
            <w:r>
              <w:rPr>
                <w:rFonts w:ascii="宋体" w:hAnsi="宋体"/>
                <w:color w:val="auto"/>
                <w:sz w:val="24"/>
                <w:highlight w:val="none"/>
              </w:rPr>
              <w:sym w:font="Wingdings 2" w:char="00A3"/>
            </w:r>
            <w:r>
              <w:rPr>
                <w:rFonts w:hint="eastAsia" w:ascii="宋体" w:hAnsi="宋体"/>
                <w:color w:val="auto"/>
                <w:sz w:val="24"/>
                <w:highlight w:val="none"/>
              </w:rPr>
              <w:t xml:space="preserve">中型企业   </w:t>
            </w:r>
            <w:r>
              <w:rPr>
                <w:rFonts w:ascii="宋体" w:hAnsi="宋体"/>
                <w:color w:val="auto"/>
                <w:sz w:val="24"/>
                <w:highlight w:val="none"/>
              </w:rPr>
              <w:sym w:font="Wingdings 2" w:char="00A3"/>
            </w:r>
            <w:r>
              <w:rPr>
                <w:rFonts w:hint="eastAsia" w:ascii="宋体" w:hAnsi="宋体"/>
                <w:color w:val="auto"/>
                <w:sz w:val="24"/>
                <w:highlight w:val="none"/>
              </w:rPr>
              <w:t xml:space="preserve">小型企业   </w:t>
            </w:r>
            <w:r>
              <w:rPr>
                <w:rFonts w:ascii="宋体" w:hAnsi="宋体"/>
                <w:color w:val="auto"/>
                <w:sz w:val="24"/>
                <w:highlight w:val="none"/>
              </w:rPr>
              <w:sym w:font="Wingdings 2" w:char="00A3"/>
            </w:r>
            <w:r>
              <w:rPr>
                <w:rFonts w:hint="eastAsia" w:ascii="宋体" w:hAnsi="宋体"/>
                <w:color w:val="auto"/>
                <w:sz w:val="24"/>
                <w:highlight w:val="none"/>
              </w:rPr>
              <w:t>微型企业</w:t>
            </w:r>
          </w:p>
        </w:tc>
      </w:tr>
      <w:tr w14:paraId="6323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CA851AC">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是否外商投资企业</w:t>
            </w:r>
          </w:p>
        </w:tc>
        <w:tc>
          <w:tcPr>
            <w:tcW w:w="6425" w:type="dxa"/>
            <w:gridSpan w:val="3"/>
            <w:vAlign w:val="center"/>
          </w:tcPr>
          <w:p w14:paraId="1B404390">
            <w:pPr>
              <w:keepNext/>
              <w:topLinePunct/>
              <w:adjustRightInd w:val="0"/>
              <w:snapToGrid w:val="0"/>
              <w:rPr>
                <w:rFonts w:ascii="宋体" w:hAnsi="宋体"/>
                <w:color w:val="auto"/>
                <w:sz w:val="24"/>
                <w:highlight w:val="none"/>
              </w:rPr>
            </w:pPr>
            <w:r>
              <w:rPr>
                <w:rFonts w:ascii="宋体" w:hAnsi="宋体"/>
                <w:color w:val="auto"/>
                <w:sz w:val="24"/>
                <w:highlight w:val="none"/>
              </w:rPr>
              <w:sym w:font="Wingdings 2" w:char="00A3"/>
            </w:r>
            <w:r>
              <w:rPr>
                <w:rFonts w:ascii="宋体" w:hAnsi="宋体"/>
                <w:color w:val="auto"/>
                <w:sz w:val="24"/>
                <w:highlight w:val="none"/>
              </w:rPr>
              <w:t xml:space="preserve">是    </w:t>
            </w:r>
            <w:r>
              <w:rPr>
                <w:rFonts w:ascii="宋体" w:hAnsi="宋体"/>
                <w:color w:val="auto"/>
                <w:sz w:val="24"/>
                <w:highlight w:val="none"/>
              </w:rPr>
              <w:sym w:font="Wingdings 2" w:char="00A3"/>
            </w:r>
            <w:r>
              <w:rPr>
                <w:rFonts w:ascii="宋体" w:hAnsi="宋体"/>
                <w:color w:val="auto"/>
                <w:sz w:val="24"/>
                <w:highlight w:val="none"/>
              </w:rPr>
              <w:t>否</w:t>
            </w:r>
          </w:p>
        </w:tc>
      </w:tr>
      <w:tr w14:paraId="41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A35A279">
            <w:pPr>
              <w:keepNext/>
              <w:topLinePunct/>
              <w:adjustRightInd w:val="0"/>
              <w:snapToGrid w:val="0"/>
              <w:jc w:val="center"/>
              <w:rPr>
                <w:rFonts w:ascii="宋体" w:hAnsi="宋体"/>
                <w:color w:val="auto"/>
                <w:sz w:val="24"/>
                <w:highlight w:val="none"/>
              </w:rPr>
            </w:pPr>
            <w:r>
              <w:rPr>
                <w:rFonts w:hint="eastAsia" w:ascii="宋体" w:hAnsi="宋体"/>
                <w:color w:val="auto"/>
                <w:sz w:val="24"/>
                <w:highlight w:val="none"/>
              </w:rPr>
              <w:t>外商投资企业类型</w:t>
            </w:r>
          </w:p>
        </w:tc>
        <w:tc>
          <w:tcPr>
            <w:tcW w:w="6425" w:type="dxa"/>
            <w:gridSpan w:val="3"/>
          </w:tcPr>
          <w:p w14:paraId="166A1334">
            <w:pPr>
              <w:keepNext/>
              <w:topLinePunct/>
              <w:adjustRightInd w:val="0"/>
              <w:snapToGrid w:val="0"/>
              <w:spacing w:line="360" w:lineRule="auto"/>
              <w:rPr>
                <w:rFonts w:ascii="宋体" w:hAnsi="宋体"/>
                <w:color w:val="auto"/>
                <w:sz w:val="24"/>
                <w:highlight w:val="none"/>
              </w:rPr>
            </w:pPr>
            <w:r>
              <w:rPr>
                <w:rFonts w:ascii="宋体" w:hAnsi="宋体"/>
                <w:color w:val="auto"/>
                <w:sz w:val="24"/>
                <w:highlight w:val="none"/>
              </w:rPr>
              <w:sym w:font="Wingdings 2" w:char="00A3"/>
            </w:r>
            <w:r>
              <w:rPr>
                <w:rFonts w:ascii="宋体" w:hAnsi="宋体"/>
                <w:color w:val="auto"/>
                <w:sz w:val="24"/>
                <w:highlight w:val="none"/>
              </w:rPr>
              <w:t xml:space="preserve">全部由外国投资者投资  </w:t>
            </w:r>
            <w:r>
              <w:rPr>
                <w:rFonts w:ascii="宋体" w:hAnsi="宋体"/>
                <w:color w:val="auto"/>
                <w:sz w:val="24"/>
                <w:highlight w:val="none"/>
              </w:rPr>
              <w:sym w:font="Wingdings 2" w:char="00A3"/>
            </w:r>
            <w:r>
              <w:rPr>
                <w:rFonts w:ascii="宋体" w:hAnsi="宋体"/>
                <w:color w:val="auto"/>
                <w:sz w:val="24"/>
                <w:highlight w:val="none"/>
              </w:rPr>
              <w:t>部分由外国投资者投资</w:t>
            </w:r>
            <w:r>
              <w:rPr>
                <w:rFonts w:hint="eastAsia" w:ascii="宋体" w:hAnsi="宋体"/>
                <w:color w:val="auto"/>
                <w:sz w:val="24"/>
                <w:highlight w:val="none"/>
              </w:rPr>
              <w:t xml:space="preserve">   </w:t>
            </w:r>
          </w:p>
          <w:p w14:paraId="645AF648">
            <w:pPr>
              <w:keepNext/>
              <w:topLinePunct/>
              <w:adjustRightInd w:val="0"/>
              <w:snapToGrid w:val="0"/>
              <w:spacing w:line="360" w:lineRule="auto"/>
              <w:rPr>
                <w:rFonts w:ascii="宋体" w:hAnsi="宋体"/>
                <w:color w:val="auto"/>
                <w:sz w:val="24"/>
                <w:highlight w:val="none"/>
              </w:rPr>
            </w:pPr>
            <w:r>
              <w:rPr>
                <w:rFonts w:ascii="宋体" w:hAnsi="宋体"/>
                <w:color w:val="auto"/>
                <w:sz w:val="24"/>
                <w:highlight w:val="none"/>
              </w:rPr>
              <w:sym w:font="Wingdings 2" w:char="00A3"/>
            </w:r>
            <w:r>
              <w:rPr>
                <w:rFonts w:hint="eastAsia" w:ascii="宋体" w:hAnsi="宋体"/>
                <w:color w:val="auto"/>
                <w:sz w:val="24"/>
                <w:highlight w:val="none"/>
              </w:rPr>
              <w:t>不涉及</w:t>
            </w:r>
          </w:p>
        </w:tc>
      </w:tr>
    </w:tbl>
    <w:p w14:paraId="391B01B9">
      <w:pPr>
        <w:keepNext/>
        <w:topLinePunct/>
        <w:adjustRightInd w:val="0"/>
        <w:snapToGrid w:val="0"/>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以上承诺信息如有虚假或隐瞒，我方愿意承担一切后果，并不再寻求任何旨在减轻或免除法律责任的辩解。 </w:t>
      </w:r>
    </w:p>
    <w:p w14:paraId="7F797424">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167BF21">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0D20D80">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38905B74">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4AA3465D">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63" w:name="_Toc180347477"/>
      <w:r>
        <w:rPr>
          <w:rFonts w:hint="eastAsia" w:ascii="宋体" w:hAnsi="宋体" w:eastAsia="宋体" w:cs="宋体"/>
          <w:b/>
          <w:color w:val="auto"/>
          <w:kern w:val="0"/>
          <w:sz w:val="24"/>
          <w:highlight w:val="none"/>
        </w:rPr>
        <w:t>2．具有良好的商业信誉和健全的财务会计制度的信用承诺书</w:t>
      </w:r>
      <w:bookmarkEnd w:id="63"/>
    </w:p>
    <w:p w14:paraId="323CD812">
      <w:pPr>
        <w:keepNext/>
        <w:topLinePunct/>
        <w:ind w:firstLine="482"/>
        <w:jc w:val="center"/>
        <w:rPr>
          <w:rFonts w:hint="eastAsia" w:ascii="宋体" w:hAnsi="宋体" w:eastAsia="宋体" w:cs="宋体"/>
          <w:b/>
          <w:color w:val="auto"/>
          <w:kern w:val="0"/>
          <w:sz w:val="24"/>
          <w:highlight w:val="none"/>
        </w:rPr>
      </w:pPr>
    </w:p>
    <w:p w14:paraId="3C06D788">
      <w:pPr>
        <w:keepNext/>
        <w:topLinePunct/>
        <w:adjustRightInd w:val="0"/>
        <w:snapToGrid w:val="0"/>
        <w:spacing w:line="360" w:lineRule="auto"/>
        <w:ind w:firstLine="482"/>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投标人具有良好的商业信誉和健全的财务会计制度的信用承诺书</w:t>
      </w:r>
    </w:p>
    <w:p w14:paraId="1FFC8F5D">
      <w:pPr>
        <w:keepNext/>
        <w:topLinePunct/>
        <w:ind w:firstLine="480"/>
        <w:rPr>
          <w:rFonts w:hint="eastAsia" w:ascii="宋体" w:hAnsi="宋体" w:eastAsia="宋体" w:cs="宋体"/>
          <w:color w:val="auto"/>
          <w:sz w:val="24"/>
          <w:highlight w:val="none"/>
          <w:u w:val="single"/>
        </w:rPr>
      </w:pPr>
    </w:p>
    <w:p w14:paraId="24AFE28F">
      <w:pPr>
        <w:keepNext/>
        <w:topLinePunct/>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采购代理机构名称  ：</w:t>
      </w:r>
    </w:p>
    <w:p w14:paraId="5CF272EC">
      <w:pPr>
        <w:keepNext/>
        <w:topLinePunct/>
        <w:adjustRightInd w:val="0"/>
        <w:snapToGrid w:val="0"/>
        <w:spacing w:line="360" w:lineRule="auto"/>
        <w:ind w:firstLine="480" w:firstLineChars="200"/>
        <w:rPr>
          <w:rFonts w:hint="eastAsia" w:ascii="宋体" w:hAnsi="宋体" w:eastAsia="宋体" w:cs="宋体"/>
          <w:color w:val="auto"/>
          <w:sz w:val="24"/>
          <w:highlight w:val="none"/>
        </w:rPr>
      </w:pPr>
    </w:p>
    <w:p w14:paraId="54EB4E13">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（包号）</w:t>
      </w:r>
      <w:r>
        <w:rPr>
          <w:rFonts w:hint="eastAsia" w:ascii="宋体" w:hAnsi="宋体" w:eastAsia="宋体" w:cs="宋体"/>
          <w:color w:val="auto"/>
          <w:sz w:val="24"/>
          <w:highlight w:val="none"/>
        </w:rPr>
        <w:t>）的采购活动。依据招标文件相关规定，现郑重承诺：</w:t>
      </w:r>
    </w:p>
    <w:p w14:paraId="5D36696B">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具备《中华人民共和国政府采购法》第二十二条规定的投标人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4555E4E8">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以上承诺信息如有虚假或隐瞒，我方愿意承担一切后果，并不再寻求任何旨在减轻或免除法律责任的辩解。 </w:t>
      </w:r>
    </w:p>
    <w:p w14:paraId="39AC4C5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C0263CB">
      <w:pPr>
        <w:keepNext/>
        <w:topLinePunct/>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50159370">
      <w:pPr>
        <w:keepNext/>
        <w:topLinePunct/>
        <w:snapToGrid w:val="0"/>
        <w:spacing w:line="360" w:lineRule="auto"/>
        <w:ind w:firstLine="480" w:firstLineChars="200"/>
        <w:rPr>
          <w:rFonts w:hint="eastAsia" w:ascii="宋体" w:hAnsi="宋体" w:eastAsia="宋体" w:cs="宋体"/>
          <w:color w:val="auto"/>
          <w:sz w:val="24"/>
          <w:highlight w:val="none"/>
        </w:rPr>
      </w:pPr>
    </w:p>
    <w:p w14:paraId="409B7A2A">
      <w:pPr>
        <w:keepNext/>
        <w:topLinePunct/>
        <w:snapToGrid w:val="0"/>
        <w:spacing w:line="360" w:lineRule="auto"/>
        <w:ind w:firstLine="480" w:firstLineChars="200"/>
        <w:rPr>
          <w:rFonts w:hint="eastAsia" w:ascii="宋体" w:hAnsi="宋体" w:eastAsia="宋体" w:cs="宋体"/>
          <w:color w:val="auto"/>
          <w:sz w:val="24"/>
          <w:highlight w:val="none"/>
        </w:rPr>
      </w:pPr>
    </w:p>
    <w:p w14:paraId="6E5CBA32">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6335961">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6DCC9F2F">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0F26972">
      <w:pPr>
        <w:keepNext/>
        <w:topLinePunct/>
        <w:snapToGrid w:val="0"/>
        <w:spacing w:line="360" w:lineRule="auto"/>
        <w:ind w:firstLine="482"/>
        <w:rPr>
          <w:rFonts w:hint="eastAsia" w:ascii="宋体" w:hAnsi="宋体" w:eastAsia="宋体" w:cs="宋体"/>
          <w:b/>
          <w:color w:val="auto"/>
          <w:kern w:val="0"/>
          <w:sz w:val="24"/>
          <w:highlight w:val="none"/>
        </w:rPr>
      </w:pPr>
    </w:p>
    <w:p w14:paraId="4AB90D07">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64" w:name="_Toc180347478"/>
      <w:r>
        <w:rPr>
          <w:rFonts w:hint="eastAsia" w:ascii="宋体" w:hAnsi="宋体" w:eastAsia="宋体" w:cs="宋体"/>
          <w:b/>
          <w:color w:val="auto"/>
          <w:kern w:val="0"/>
          <w:sz w:val="24"/>
          <w:highlight w:val="none"/>
        </w:rPr>
        <w:t>3．具有履行合同所必需的设备和专业技术能力的信用承诺书</w:t>
      </w:r>
      <w:bookmarkEnd w:id="64"/>
    </w:p>
    <w:p w14:paraId="6975B4B9">
      <w:pPr>
        <w:keepNext/>
        <w:topLinePunct/>
        <w:spacing w:line="330" w:lineRule="atLeast"/>
        <w:ind w:firstLine="420"/>
        <w:jc w:val="left"/>
        <w:rPr>
          <w:rFonts w:hint="eastAsia" w:ascii="宋体" w:hAnsi="宋体" w:eastAsia="宋体" w:cs="宋体"/>
          <w:color w:val="auto"/>
          <w:kern w:val="0"/>
          <w:szCs w:val="21"/>
          <w:highlight w:val="none"/>
        </w:rPr>
      </w:pPr>
    </w:p>
    <w:p w14:paraId="36F5D4F4">
      <w:pPr>
        <w:keepNext/>
        <w:topLinePunct/>
        <w:adjustRightInd w:val="0"/>
        <w:snapToGrid w:val="0"/>
        <w:spacing w:line="360" w:lineRule="auto"/>
        <w:ind w:firstLine="482"/>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投标人具有履行合同所必需的设备和专业技术能力的信用承诺书</w:t>
      </w:r>
    </w:p>
    <w:p w14:paraId="77D748C2">
      <w:pPr>
        <w:keepNext/>
        <w:topLinePunct/>
        <w:ind w:firstLine="480"/>
        <w:rPr>
          <w:rFonts w:hint="eastAsia" w:ascii="宋体" w:hAnsi="宋体" w:eastAsia="宋体" w:cs="宋体"/>
          <w:color w:val="auto"/>
          <w:sz w:val="24"/>
          <w:highlight w:val="none"/>
        </w:rPr>
      </w:pPr>
    </w:p>
    <w:p w14:paraId="65D8A95E">
      <w:pPr>
        <w:keepNext/>
        <w:topLinePunct/>
        <w:spacing w:line="330" w:lineRule="atLeast"/>
        <w:ind w:firstLine="420"/>
        <w:jc w:val="left"/>
        <w:rPr>
          <w:rFonts w:hint="eastAsia" w:ascii="宋体" w:hAnsi="宋体" w:eastAsia="宋体" w:cs="宋体"/>
          <w:color w:val="auto"/>
          <w:kern w:val="0"/>
          <w:szCs w:val="21"/>
          <w:highlight w:val="none"/>
        </w:rPr>
      </w:pPr>
    </w:p>
    <w:p w14:paraId="7C471BC1">
      <w:pPr>
        <w:keepNext/>
        <w:topLinePunct/>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采购代理机构名称  ：</w:t>
      </w:r>
    </w:p>
    <w:p w14:paraId="7B1EA7E6">
      <w:pPr>
        <w:keepNext/>
        <w:topLinePunct/>
        <w:adjustRightInd w:val="0"/>
        <w:snapToGrid w:val="0"/>
        <w:spacing w:line="360" w:lineRule="auto"/>
        <w:ind w:firstLine="420" w:firstLineChars="200"/>
        <w:rPr>
          <w:rFonts w:hint="eastAsia" w:ascii="宋体" w:hAnsi="宋体" w:eastAsia="宋体" w:cs="宋体"/>
          <w:color w:val="auto"/>
          <w:kern w:val="0"/>
          <w:szCs w:val="21"/>
          <w:highlight w:val="none"/>
        </w:rPr>
      </w:pPr>
    </w:p>
    <w:p w14:paraId="6B2BC6E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（包号）</w:t>
      </w:r>
      <w:r>
        <w:rPr>
          <w:rFonts w:hint="eastAsia" w:ascii="宋体" w:hAnsi="宋体" w:eastAsia="宋体" w:cs="宋体"/>
          <w:color w:val="auto"/>
          <w:sz w:val="24"/>
          <w:highlight w:val="none"/>
        </w:rPr>
        <w:t>）的采购活动。依据招标文件相关规定，现郑重承诺：</w:t>
      </w:r>
    </w:p>
    <w:p w14:paraId="6D020B9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具备《中华人民共和国政府采购法》第二十二条规定的投标人参加政府采购活动应“具有履行合同所必需的设备和专业技术能力”的资格条件，且具有《中华人民共和国政府采购法实施条例》第十七条中规定投标人参加政府采购活动需提供“具备履行合同所必需的设备和专业技术能力的证明材料”。</w:t>
      </w:r>
    </w:p>
    <w:p w14:paraId="412748BA">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以上承诺信息如有虚假或隐瞒，我方愿意承担一切后果，并不再寻求任何旨在减轻或免除法律责任的辩解。 </w:t>
      </w:r>
    </w:p>
    <w:p w14:paraId="06662F35">
      <w:pPr>
        <w:keepNext/>
        <w:topLinePunct/>
        <w:adjustRightInd w:val="0"/>
        <w:snapToGrid w:val="0"/>
        <w:spacing w:line="360" w:lineRule="auto"/>
        <w:ind w:firstLine="480" w:firstLineChars="200"/>
        <w:rPr>
          <w:rFonts w:hint="eastAsia" w:ascii="宋体" w:hAnsi="宋体" w:eastAsia="宋体" w:cs="宋体"/>
          <w:color w:val="auto"/>
          <w:sz w:val="24"/>
          <w:highlight w:val="none"/>
        </w:rPr>
      </w:pPr>
    </w:p>
    <w:p w14:paraId="3FA28092">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AB5CA3A">
      <w:pPr>
        <w:keepNext/>
        <w:topLinePunct/>
        <w:ind w:firstLine="3369" w:firstLineChars="1404"/>
        <w:rPr>
          <w:rFonts w:hint="eastAsia" w:ascii="宋体" w:hAnsi="宋体" w:eastAsia="宋体" w:cs="宋体"/>
          <w:color w:val="auto"/>
          <w:sz w:val="24"/>
          <w:highlight w:val="none"/>
        </w:rPr>
      </w:pPr>
    </w:p>
    <w:p w14:paraId="18B863E2">
      <w:pPr>
        <w:keepNext/>
        <w:topLinePunct/>
        <w:ind w:firstLine="3369" w:firstLineChars="1404"/>
        <w:rPr>
          <w:rFonts w:hint="eastAsia" w:ascii="宋体" w:hAnsi="宋体" w:eastAsia="宋体" w:cs="宋体"/>
          <w:color w:val="auto"/>
          <w:sz w:val="24"/>
          <w:highlight w:val="none"/>
        </w:rPr>
      </w:pPr>
    </w:p>
    <w:p w14:paraId="0638C64D">
      <w:pPr>
        <w:keepNext/>
        <w:topLinePunct/>
        <w:ind w:firstLine="3369" w:firstLineChars="1404"/>
        <w:rPr>
          <w:rFonts w:hint="eastAsia" w:ascii="宋体" w:hAnsi="宋体" w:eastAsia="宋体" w:cs="宋体"/>
          <w:color w:val="auto"/>
          <w:sz w:val="24"/>
          <w:highlight w:val="none"/>
        </w:rPr>
      </w:pPr>
    </w:p>
    <w:p w14:paraId="1E9C10CF">
      <w:pPr>
        <w:keepNext/>
        <w:topLinePunct/>
        <w:spacing w:line="330" w:lineRule="atLeast"/>
        <w:ind w:firstLine="420"/>
        <w:jc w:val="left"/>
        <w:rPr>
          <w:rFonts w:hint="eastAsia" w:ascii="宋体" w:hAnsi="宋体" w:eastAsia="宋体" w:cs="宋体"/>
          <w:color w:val="auto"/>
          <w:kern w:val="0"/>
          <w:szCs w:val="21"/>
          <w:highlight w:val="none"/>
        </w:rPr>
      </w:pPr>
    </w:p>
    <w:p w14:paraId="5D0051C5">
      <w:pPr>
        <w:keepNext/>
        <w:topLinePunct/>
        <w:spacing w:line="330" w:lineRule="atLeast"/>
        <w:ind w:firstLine="420"/>
        <w:jc w:val="left"/>
        <w:rPr>
          <w:rFonts w:hint="eastAsia" w:ascii="宋体" w:hAnsi="宋体" w:eastAsia="宋体" w:cs="宋体"/>
          <w:color w:val="auto"/>
          <w:kern w:val="0"/>
          <w:szCs w:val="21"/>
          <w:highlight w:val="none"/>
        </w:rPr>
      </w:pPr>
    </w:p>
    <w:p w14:paraId="320FCE88">
      <w:pPr>
        <w:keepNext/>
        <w:topLinePunct/>
        <w:ind w:firstLine="3369" w:firstLineChars="1404"/>
        <w:rPr>
          <w:rFonts w:hint="eastAsia" w:ascii="宋体" w:hAnsi="宋体" w:eastAsia="宋体" w:cs="宋体"/>
          <w:color w:val="auto"/>
          <w:sz w:val="24"/>
          <w:highlight w:val="none"/>
        </w:rPr>
      </w:pPr>
    </w:p>
    <w:p w14:paraId="0D9346AE">
      <w:pPr>
        <w:keepNext/>
        <w:topLinePunct/>
        <w:ind w:firstLine="3369" w:firstLineChars="1404"/>
        <w:rPr>
          <w:rFonts w:hint="eastAsia" w:ascii="宋体" w:hAnsi="宋体" w:eastAsia="宋体" w:cs="宋体"/>
          <w:color w:val="auto"/>
          <w:sz w:val="24"/>
          <w:highlight w:val="none"/>
        </w:rPr>
      </w:pPr>
    </w:p>
    <w:p w14:paraId="1CFD77F3">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45A01F0">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4B9665E">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76D4447">
      <w:pPr>
        <w:keepNext/>
        <w:topLinePunct/>
        <w:snapToGrid w:val="0"/>
        <w:spacing w:line="360" w:lineRule="auto"/>
        <w:ind w:firstLine="482"/>
        <w:rPr>
          <w:rFonts w:hint="eastAsia" w:ascii="宋体" w:hAnsi="宋体" w:eastAsia="宋体" w:cs="宋体"/>
          <w:b/>
          <w:color w:val="auto"/>
          <w:kern w:val="0"/>
          <w:sz w:val="24"/>
          <w:highlight w:val="none"/>
        </w:rPr>
      </w:pPr>
    </w:p>
    <w:p w14:paraId="503752BA">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65" w:name="_Toc180347479"/>
      <w:r>
        <w:rPr>
          <w:rFonts w:hint="eastAsia" w:ascii="宋体" w:hAnsi="宋体" w:eastAsia="宋体" w:cs="宋体"/>
          <w:b/>
          <w:color w:val="auto"/>
          <w:kern w:val="0"/>
          <w:sz w:val="24"/>
          <w:highlight w:val="none"/>
        </w:rPr>
        <w:t>4．具有依法缴纳税收和社会保障资金的良好记录的信用承诺书</w:t>
      </w:r>
      <w:bookmarkEnd w:id="65"/>
    </w:p>
    <w:p w14:paraId="39503EF5">
      <w:pPr>
        <w:keepNext/>
        <w:topLinePunct/>
        <w:ind w:firstLine="482"/>
        <w:jc w:val="center"/>
        <w:rPr>
          <w:rFonts w:hint="eastAsia" w:ascii="宋体" w:hAnsi="宋体" w:eastAsia="宋体" w:cs="宋体"/>
          <w:b/>
          <w:color w:val="auto"/>
          <w:kern w:val="0"/>
          <w:sz w:val="24"/>
          <w:highlight w:val="none"/>
        </w:rPr>
      </w:pPr>
    </w:p>
    <w:p w14:paraId="60096DEB">
      <w:pPr>
        <w:keepNext/>
        <w:topLinePunct/>
        <w:adjustRightInd w:val="0"/>
        <w:snapToGrid w:val="0"/>
        <w:spacing w:line="360" w:lineRule="auto"/>
        <w:ind w:firstLine="482"/>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投标人具有依法缴纳税收和社会保障资金的良好记录的信用承诺书</w:t>
      </w:r>
    </w:p>
    <w:p w14:paraId="745CD332">
      <w:pPr>
        <w:keepNext/>
        <w:topLinePunct/>
        <w:ind w:firstLine="420"/>
        <w:rPr>
          <w:rFonts w:hint="eastAsia" w:ascii="宋体" w:hAnsi="宋体" w:eastAsia="宋体" w:cs="宋体"/>
          <w:color w:val="auto"/>
          <w:highlight w:val="none"/>
        </w:rPr>
      </w:pPr>
    </w:p>
    <w:p w14:paraId="0A97467B">
      <w:pPr>
        <w:keepNext/>
        <w:topLinePunct/>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采购代理机构名称  ：</w:t>
      </w:r>
    </w:p>
    <w:p w14:paraId="54F0AAEC">
      <w:pPr>
        <w:keepNext/>
        <w:topLinePunct/>
        <w:adjustRightInd w:val="0"/>
        <w:snapToGrid w:val="0"/>
        <w:spacing w:line="360" w:lineRule="auto"/>
        <w:ind w:firstLine="480" w:firstLineChars="200"/>
        <w:rPr>
          <w:rFonts w:hint="eastAsia" w:ascii="宋体" w:hAnsi="宋体" w:eastAsia="宋体" w:cs="宋体"/>
          <w:color w:val="auto"/>
          <w:sz w:val="24"/>
          <w:highlight w:val="none"/>
        </w:rPr>
      </w:pPr>
    </w:p>
    <w:p w14:paraId="2EF86371">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（包号）</w:t>
      </w:r>
      <w:r>
        <w:rPr>
          <w:rFonts w:hint="eastAsia" w:ascii="宋体" w:hAnsi="宋体" w:eastAsia="宋体" w:cs="宋体"/>
          <w:color w:val="auto"/>
          <w:sz w:val="24"/>
          <w:highlight w:val="none"/>
        </w:rPr>
        <w:t>）的采购活动。依据招标文件相关规定，现郑重承诺：</w:t>
      </w:r>
    </w:p>
    <w:p w14:paraId="4D21FCE3">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具备《中华人民共和国政府采购法》第二十二条规定的投标人参加政府采购活动应“有依法缴纳税收和社会保障资金的良好记录”，且具有《中华人民共和国政府采购法实施条例》第十七条中规定的参加政府采购活动需提供的“依法缴纳税收和社会保障资金的相关材料”。</w:t>
      </w:r>
    </w:p>
    <w:p w14:paraId="4FB73C11">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我方在参加本次采购活动前严格依法缴纳税收或依法享受国家免税优惠政策，并依法给单位职工缴纳社会保障金或依法不需要缴纳社会保障资金的证明文件。</w:t>
      </w:r>
    </w:p>
    <w:p w14:paraId="1C5029A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以上承诺信息如有虚假或隐瞒，我方愿意承担一切后果，并不再寻求任何旨在减轻或免除法律责任的辩解。 </w:t>
      </w:r>
    </w:p>
    <w:p w14:paraId="043CD6D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3DD031D">
      <w:pPr>
        <w:keepNext/>
        <w:topLinePunct/>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5CEDB6B6">
      <w:pPr>
        <w:keepNext/>
        <w:topLinePunct/>
        <w:adjustRightInd w:val="0"/>
        <w:snapToGrid w:val="0"/>
        <w:spacing w:line="360" w:lineRule="auto"/>
        <w:ind w:firstLine="480" w:firstLineChars="200"/>
        <w:rPr>
          <w:rFonts w:hint="eastAsia" w:ascii="宋体" w:hAnsi="宋体" w:eastAsia="宋体" w:cs="宋体"/>
          <w:color w:val="auto"/>
          <w:sz w:val="24"/>
          <w:highlight w:val="none"/>
        </w:rPr>
      </w:pPr>
    </w:p>
    <w:p w14:paraId="47B1BF84">
      <w:pPr>
        <w:keepNext/>
        <w:topLinePunct/>
        <w:adjustRightInd w:val="0"/>
        <w:snapToGrid w:val="0"/>
        <w:spacing w:line="360" w:lineRule="auto"/>
        <w:ind w:firstLine="480" w:firstLineChars="200"/>
        <w:rPr>
          <w:rFonts w:hint="eastAsia" w:ascii="宋体" w:hAnsi="宋体" w:eastAsia="宋体" w:cs="宋体"/>
          <w:color w:val="auto"/>
          <w:sz w:val="24"/>
          <w:highlight w:val="none"/>
        </w:rPr>
      </w:pPr>
    </w:p>
    <w:p w14:paraId="3833C83E">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49E9469">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72751E27">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41971C4D">
      <w:pPr>
        <w:keepNext/>
        <w:topLinePunct/>
        <w:spacing w:line="480" w:lineRule="exact"/>
        <w:ind w:firstLine="480"/>
        <w:rPr>
          <w:rFonts w:hint="eastAsia" w:ascii="宋体" w:hAnsi="宋体" w:eastAsia="宋体" w:cs="宋体"/>
          <w:color w:val="auto"/>
          <w:sz w:val="24"/>
          <w:highlight w:val="none"/>
        </w:rPr>
      </w:pPr>
    </w:p>
    <w:p w14:paraId="37938D4C">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66" w:name="_Toc180347480"/>
      <w:r>
        <w:rPr>
          <w:rFonts w:hint="eastAsia" w:ascii="宋体" w:hAnsi="宋体" w:eastAsia="宋体" w:cs="宋体"/>
          <w:b/>
          <w:color w:val="auto"/>
          <w:kern w:val="0"/>
          <w:sz w:val="24"/>
          <w:highlight w:val="none"/>
        </w:rPr>
        <w:t>5．参加本次采购活动前三年内，在经营活动中没有重大违法记录的信用承诺书</w:t>
      </w:r>
      <w:bookmarkEnd w:id="66"/>
    </w:p>
    <w:p w14:paraId="596E0EC9">
      <w:pPr>
        <w:keepNext/>
        <w:topLinePunct/>
        <w:ind w:firstLine="482"/>
        <w:jc w:val="center"/>
        <w:rPr>
          <w:rFonts w:hint="eastAsia" w:ascii="宋体" w:hAnsi="宋体" w:eastAsia="宋体" w:cs="宋体"/>
          <w:b/>
          <w:color w:val="auto"/>
          <w:sz w:val="24"/>
          <w:highlight w:val="none"/>
        </w:rPr>
      </w:pPr>
    </w:p>
    <w:p w14:paraId="7C77A29F">
      <w:pPr>
        <w:keepNext/>
        <w:topLinePunct/>
        <w:adjustRightInd w:val="0"/>
        <w:snapToGrid w:val="0"/>
        <w:spacing w:line="360" w:lineRule="auto"/>
        <w:ind w:firstLine="482"/>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参加本次采购活动前三年内，在经营活动中没有重大违法记录的信用承诺书</w:t>
      </w:r>
    </w:p>
    <w:p w14:paraId="43866ED5">
      <w:pPr>
        <w:keepNext/>
        <w:topLinePunct/>
        <w:spacing w:line="330" w:lineRule="atLeast"/>
        <w:ind w:firstLine="420"/>
        <w:jc w:val="left"/>
        <w:rPr>
          <w:rFonts w:hint="eastAsia" w:ascii="宋体" w:hAnsi="宋体" w:eastAsia="宋体" w:cs="宋体"/>
          <w:color w:val="auto"/>
          <w:kern w:val="0"/>
          <w:szCs w:val="21"/>
          <w:highlight w:val="none"/>
        </w:rPr>
      </w:pPr>
    </w:p>
    <w:p w14:paraId="009E74BA">
      <w:pPr>
        <w:keepNext/>
        <w:topLinePunct/>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采购代理机构名称  ：</w:t>
      </w:r>
    </w:p>
    <w:p w14:paraId="7F47ACB5">
      <w:pPr>
        <w:keepNext/>
        <w:topLinePunct/>
        <w:adjustRightInd w:val="0"/>
        <w:snapToGrid w:val="0"/>
        <w:spacing w:line="360" w:lineRule="auto"/>
        <w:ind w:firstLine="420" w:firstLineChars="200"/>
        <w:jc w:val="left"/>
        <w:rPr>
          <w:rFonts w:hint="eastAsia" w:ascii="宋体" w:hAnsi="宋体" w:eastAsia="宋体" w:cs="宋体"/>
          <w:color w:val="auto"/>
          <w:highlight w:val="none"/>
        </w:rPr>
      </w:pPr>
    </w:p>
    <w:p w14:paraId="380C86B6">
      <w:pPr>
        <w:keepNext/>
        <w:topLinePunct/>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kern w:val="0"/>
          <w:sz w:val="24"/>
          <w:szCs w:val="28"/>
          <w:highlight w:val="none"/>
          <w:u w:val="single"/>
        </w:rPr>
        <w:t>（包号）</w:t>
      </w:r>
      <w:r>
        <w:rPr>
          <w:rFonts w:hint="eastAsia" w:ascii="宋体" w:hAnsi="宋体" w:eastAsia="宋体" w:cs="宋体"/>
          <w:color w:val="auto"/>
          <w:sz w:val="24"/>
          <w:highlight w:val="none"/>
        </w:rPr>
        <w:t>）的采购活动。依据</w:t>
      </w:r>
      <w:r>
        <w:rPr>
          <w:rFonts w:hint="eastAsia" w:ascii="宋体" w:hAnsi="宋体" w:eastAsia="宋体" w:cs="宋体"/>
          <w:color w:val="auto"/>
          <w:sz w:val="24"/>
          <w:szCs w:val="28"/>
          <w:highlight w:val="none"/>
        </w:rPr>
        <w:t>招标文件</w:t>
      </w:r>
      <w:r>
        <w:rPr>
          <w:rFonts w:hint="eastAsia" w:ascii="宋体" w:hAnsi="宋体" w:eastAsia="宋体" w:cs="宋体"/>
          <w:color w:val="auto"/>
          <w:sz w:val="24"/>
          <w:highlight w:val="none"/>
        </w:rPr>
        <w:t>相关规定，现郑重承诺：</w:t>
      </w:r>
    </w:p>
    <w:p w14:paraId="526165AA">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在参加本次采购活动前3年内，在经营活动中没有因违法经营受到刑事处罚或者责令停产停业、吊销许可证或者执照、较大数额罚款等行政处罚的重大违法记录。经查证，在信用中国网（http：//www.creditchina.gov.cn）的信用信息中失信被执行人、重大税收违法案件当事人名单均为0记录；在中国政府采购网（http：//www.ccgp.gov.cn）中的政府采购严重违法失信行为信息记录为0记录。</w:t>
      </w:r>
    </w:p>
    <w:p w14:paraId="3565AC89">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以上承诺信息如有虚假或隐瞒，我方愿意承担一切后果，并不再寻求任何旨在减轻或免除法律责任的辩解。 </w:t>
      </w:r>
    </w:p>
    <w:p w14:paraId="3019DF0C">
      <w:pPr>
        <w:keepNext/>
        <w:topLinePunct/>
        <w:adjustRightInd w:val="0"/>
        <w:snapToGrid w:val="0"/>
        <w:spacing w:line="360" w:lineRule="auto"/>
        <w:ind w:firstLine="480" w:firstLineChars="200"/>
        <w:jc w:val="left"/>
        <w:rPr>
          <w:rFonts w:hint="eastAsia" w:ascii="宋体" w:hAnsi="宋体" w:eastAsia="宋体" w:cs="宋体"/>
          <w:color w:val="auto"/>
          <w:sz w:val="24"/>
          <w:highlight w:val="none"/>
        </w:rPr>
      </w:pPr>
    </w:p>
    <w:p w14:paraId="49FBA361">
      <w:pPr>
        <w:keepNext/>
        <w:topLinePunct/>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E07F2B8">
      <w:pPr>
        <w:keepNext/>
        <w:topLinePunct/>
        <w:adjustRightInd w:val="0"/>
        <w:snapToGrid w:val="0"/>
        <w:spacing w:line="360" w:lineRule="auto"/>
        <w:ind w:firstLine="480" w:firstLineChars="200"/>
        <w:jc w:val="center"/>
        <w:rPr>
          <w:rFonts w:hint="eastAsia" w:ascii="宋体" w:hAnsi="宋体" w:eastAsia="宋体" w:cs="宋体"/>
          <w:color w:val="auto"/>
          <w:sz w:val="24"/>
          <w:highlight w:val="none"/>
        </w:rPr>
      </w:pPr>
    </w:p>
    <w:p w14:paraId="1FA391D7">
      <w:pPr>
        <w:keepNext/>
        <w:topLinePunct/>
        <w:adjustRightInd w:val="0"/>
        <w:snapToGrid w:val="0"/>
        <w:spacing w:line="360" w:lineRule="auto"/>
        <w:ind w:firstLine="480" w:firstLineChars="200"/>
        <w:jc w:val="center"/>
        <w:rPr>
          <w:rFonts w:hint="eastAsia" w:ascii="宋体" w:hAnsi="宋体" w:eastAsia="宋体" w:cs="宋体"/>
          <w:color w:val="auto"/>
          <w:sz w:val="24"/>
          <w:highlight w:val="none"/>
        </w:rPr>
      </w:pPr>
    </w:p>
    <w:p w14:paraId="2E95F619">
      <w:pPr>
        <w:keepNext/>
        <w:topLinePunct/>
        <w:adjustRightInd w:val="0"/>
        <w:snapToGrid w:val="0"/>
        <w:spacing w:line="360" w:lineRule="auto"/>
        <w:ind w:firstLine="480" w:firstLineChars="200"/>
        <w:jc w:val="center"/>
        <w:rPr>
          <w:rFonts w:hint="eastAsia" w:ascii="宋体" w:hAnsi="宋体" w:eastAsia="宋体" w:cs="宋体"/>
          <w:color w:val="auto"/>
          <w:sz w:val="24"/>
          <w:highlight w:val="none"/>
        </w:rPr>
      </w:pPr>
    </w:p>
    <w:p w14:paraId="54F61FB2">
      <w:pPr>
        <w:keepNext/>
        <w:topLinePunct/>
        <w:adjustRightInd w:val="0"/>
        <w:snapToGrid w:val="0"/>
        <w:spacing w:line="360" w:lineRule="auto"/>
        <w:ind w:firstLine="480" w:firstLineChars="200"/>
        <w:jc w:val="center"/>
        <w:rPr>
          <w:rFonts w:hint="eastAsia" w:ascii="宋体" w:hAnsi="宋体" w:eastAsia="宋体" w:cs="宋体"/>
          <w:color w:val="auto"/>
          <w:sz w:val="24"/>
          <w:highlight w:val="none"/>
        </w:rPr>
      </w:pPr>
    </w:p>
    <w:p w14:paraId="16C9555F">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B60D60A">
      <w:pPr>
        <w:keepNext/>
        <w:topLinePunct/>
        <w:adjustRightInd w:val="0"/>
        <w:snapToGrid w:val="0"/>
        <w:spacing w:line="360" w:lineRule="auto"/>
        <w:ind w:firstLine="3120" w:firstLineChars="1300"/>
        <w:rPr>
          <w:rFonts w:hint="eastAsia" w:ascii="宋体" w:hAnsi="宋体" w:eastAsia="宋体" w:cs="宋体"/>
          <w:color w:val="auto"/>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1E0B951">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1FE82DB7">
      <w:pPr>
        <w:keepNext/>
        <w:topLinePunct/>
        <w:snapToGrid w:val="0"/>
        <w:spacing w:line="360" w:lineRule="auto"/>
        <w:ind w:firstLine="480"/>
        <w:rPr>
          <w:rFonts w:hint="eastAsia" w:ascii="宋体" w:hAnsi="宋体" w:eastAsia="宋体" w:cs="宋体"/>
          <w:color w:val="auto"/>
          <w:sz w:val="24"/>
          <w:highlight w:val="none"/>
        </w:rPr>
      </w:pPr>
    </w:p>
    <w:p w14:paraId="168D758B">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color w:val="auto"/>
          <w:kern w:val="0"/>
          <w:szCs w:val="21"/>
          <w:highlight w:val="none"/>
        </w:rPr>
        <w:br w:type="page"/>
      </w:r>
      <w:bookmarkStart w:id="67" w:name="_Toc180347481"/>
      <w:r>
        <w:rPr>
          <w:rFonts w:hint="eastAsia" w:ascii="宋体" w:hAnsi="宋体" w:eastAsia="宋体" w:cs="宋体"/>
          <w:b/>
          <w:color w:val="auto"/>
          <w:kern w:val="0"/>
          <w:sz w:val="24"/>
          <w:highlight w:val="none"/>
        </w:rPr>
        <w:t>6．不存在单位负责人为同一人或者存在直接控股、管理关系的不同投标人参加同一合同项下的政府采购活动的信用承诺书</w:t>
      </w:r>
      <w:bookmarkEnd w:id="67"/>
    </w:p>
    <w:p w14:paraId="7F5293F8">
      <w:pPr>
        <w:keepNext/>
        <w:topLinePunct/>
        <w:snapToGrid w:val="0"/>
        <w:spacing w:line="400" w:lineRule="exact"/>
        <w:ind w:firstLine="482"/>
        <w:jc w:val="left"/>
        <w:rPr>
          <w:rFonts w:hint="eastAsia" w:ascii="宋体" w:hAnsi="宋体" w:eastAsia="宋体" w:cs="宋体"/>
          <w:b/>
          <w:color w:val="auto"/>
          <w:kern w:val="0"/>
          <w:sz w:val="24"/>
          <w:highlight w:val="none"/>
        </w:rPr>
      </w:pPr>
    </w:p>
    <w:p w14:paraId="2004556D">
      <w:pPr>
        <w:keepNext/>
        <w:topLinePunct/>
        <w:adjustRightInd w:val="0"/>
        <w:snapToGrid w:val="0"/>
        <w:spacing w:line="360" w:lineRule="auto"/>
        <w:ind w:firstLine="482"/>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不存在单位负责人为同一人或者存在直接控股、管理关系的不同投标人</w:t>
      </w:r>
    </w:p>
    <w:p w14:paraId="5A8F2365">
      <w:pPr>
        <w:keepNext/>
        <w:topLinePunct/>
        <w:adjustRightInd w:val="0"/>
        <w:snapToGrid w:val="0"/>
        <w:spacing w:line="360" w:lineRule="auto"/>
        <w:ind w:firstLine="482"/>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参加同一合同项下的政府采购活动的信用承诺书</w:t>
      </w:r>
    </w:p>
    <w:p w14:paraId="2A441D51">
      <w:pPr>
        <w:keepNext/>
        <w:topLinePunct/>
        <w:snapToGrid w:val="0"/>
        <w:spacing w:line="400" w:lineRule="exact"/>
        <w:ind w:firstLine="482"/>
        <w:jc w:val="left"/>
        <w:rPr>
          <w:rFonts w:hint="eastAsia" w:ascii="宋体" w:hAnsi="宋体" w:eastAsia="宋体" w:cs="宋体"/>
          <w:b/>
          <w:color w:val="auto"/>
          <w:kern w:val="0"/>
          <w:sz w:val="24"/>
          <w:highlight w:val="none"/>
        </w:rPr>
      </w:pPr>
    </w:p>
    <w:p w14:paraId="13E4757D">
      <w:pPr>
        <w:keepNext/>
        <w:topLinePunct/>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采购代理机构名称  ：</w:t>
      </w:r>
    </w:p>
    <w:p w14:paraId="64C55982">
      <w:pPr>
        <w:keepNext/>
        <w:topLinePunct/>
        <w:snapToGrid w:val="0"/>
        <w:spacing w:line="400" w:lineRule="exact"/>
        <w:ind w:firstLine="482"/>
        <w:jc w:val="left"/>
        <w:rPr>
          <w:rFonts w:hint="eastAsia" w:ascii="宋体" w:hAnsi="宋体" w:eastAsia="宋体" w:cs="宋体"/>
          <w:b/>
          <w:color w:val="auto"/>
          <w:kern w:val="0"/>
          <w:sz w:val="24"/>
          <w:highlight w:val="none"/>
        </w:rPr>
      </w:pPr>
    </w:p>
    <w:p w14:paraId="028A95C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u w:val="single"/>
        </w:rPr>
        <w:t>（项目编号：        （包号））</w:t>
      </w:r>
      <w:r>
        <w:rPr>
          <w:rFonts w:hint="eastAsia" w:ascii="宋体" w:hAnsi="宋体" w:eastAsia="宋体" w:cs="宋体"/>
          <w:color w:val="auto"/>
          <w:sz w:val="24"/>
          <w:highlight w:val="none"/>
        </w:rPr>
        <w:t>的采购活动。依据招标文件相关规定，现郑重声明：</w:t>
      </w:r>
    </w:p>
    <w:p w14:paraId="2DF2926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我单位不存在与参与本项目的其他投标人的单位负责人为同一人或者存在直接控股、管理关系的不同投标人参加同一合同项下的政府采购活动的情形。</w:t>
      </w:r>
    </w:p>
    <w:p w14:paraId="6AFAA500">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以上承诺信息如有虚假或隐瞒，我方愿意承担一切后果，并不再寻求任何旨在减轻或免除法律责任的辩解。</w:t>
      </w:r>
    </w:p>
    <w:p w14:paraId="48676790">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D6A1FFB">
      <w:pPr>
        <w:keepNext/>
        <w:topLinePunct/>
        <w:adjustRightInd w:val="0"/>
        <w:snapToGrid w:val="0"/>
        <w:spacing w:line="360" w:lineRule="auto"/>
        <w:ind w:firstLine="480" w:firstLineChars="200"/>
        <w:rPr>
          <w:rFonts w:hint="eastAsia" w:ascii="宋体" w:hAnsi="宋体" w:eastAsia="宋体" w:cs="宋体"/>
          <w:color w:val="auto"/>
          <w:sz w:val="24"/>
          <w:highlight w:val="none"/>
        </w:rPr>
      </w:pPr>
    </w:p>
    <w:p w14:paraId="4E913491">
      <w:pPr>
        <w:keepNext/>
        <w:topLinePunct/>
        <w:adjustRightInd w:val="0"/>
        <w:snapToGrid w:val="0"/>
        <w:spacing w:line="360" w:lineRule="auto"/>
        <w:ind w:firstLine="480" w:firstLineChars="200"/>
        <w:rPr>
          <w:rFonts w:hint="eastAsia" w:ascii="宋体" w:hAnsi="宋体" w:eastAsia="宋体" w:cs="宋体"/>
          <w:color w:val="auto"/>
          <w:sz w:val="24"/>
          <w:highlight w:val="none"/>
        </w:rPr>
      </w:pPr>
    </w:p>
    <w:p w14:paraId="412D6F3C">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BA4AEE">
      <w:pPr>
        <w:keepNext/>
        <w:topLinePunct/>
        <w:adjustRightInd w:val="0"/>
        <w:snapToGrid w:val="0"/>
        <w:spacing w:line="360" w:lineRule="auto"/>
        <w:ind w:firstLine="3120" w:firstLineChars="1300"/>
        <w:rPr>
          <w:rFonts w:hint="eastAsia" w:ascii="宋体" w:hAnsi="宋体" w:eastAsia="宋体" w:cs="宋体"/>
          <w:color w:val="auto"/>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D0657C3">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6D1D528">
      <w:pPr>
        <w:keepNext/>
        <w:topLinePunct/>
        <w:snapToGrid w:val="0"/>
        <w:spacing w:line="480" w:lineRule="exact"/>
        <w:ind w:firstLine="3120" w:firstLineChars="1300"/>
        <w:rPr>
          <w:rFonts w:hint="eastAsia" w:ascii="宋体" w:hAnsi="宋体" w:eastAsia="宋体" w:cs="宋体"/>
          <w:color w:val="auto"/>
          <w:sz w:val="24"/>
          <w:highlight w:val="none"/>
        </w:rPr>
      </w:pPr>
    </w:p>
    <w:p w14:paraId="64503FD5">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68" w:name="_Toc180347482"/>
      <w:r>
        <w:rPr>
          <w:rFonts w:hint="eastAsia" w:ascii="宋体" w:hAnsi="宋体" w:eastAsia="宋体" w:cs="宋体"/>
          <w:b/>
          <w:color w:val="auto"/>
          <w:kern w:val="0"/>
          <w:sz w:val="24"/>
          <w:highlight w:val="none"/>
        </w:rPr>
        <w:t>7．投标人廉洁自律信用承诺书</w:t>
      </w:r>
      <w:bookmarkEnd w:id="68"/>
    </w:p>
    <w:p w14:paraId="5462340A">
      <w:pPr>
        <w:keepNext/>
        <w:topLinePunct/>
        <w:adjustRightInd w:val="0"/>
        <w:snapToGrid w:val="0"/>
        <w:spacing w:line="360" w:lineRule="auto"/>
        <w:ind w:firstLine="482"/>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投标人廉洁自律信用承诺书</w:t>
      </w:r>
    </w:p>
    <w:p w14:paraId="5D04BD38">
      <w:pPr>
        <w:keepNext/>
        <w:topLinePunct/>
        <w:spacing w:line="360" w:lineRule="auto"/>
        <w:ind w:firstLine="480"/>
        <w:rPr>
          <w:rFonts w:hint="eastAsia" w:ascii="宋体" w:hAnsi="宋体" w:eastAsia="宋体" w:cs="宋体"/>
          <w:color w:val="auto"/>
          <w:sz w:val="24"/>
          <w:highlight w:val="none"/>
          <w:u w:val="single"/>
        </w:rPr>
      </w:pPr>
    </w:p>
    <w:p w14:paraId="1A317364">
      <w:pPr>
        <w:keepNext/>
        <w:topLinePunct/>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采购代理机构名称  ：</w:t>
      </w:r>
    </w:p>
    <w:p w14:paraId="6AEFB122">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为维护本招标项目的正常工作秩序，本公司特郑重承诺：</w:t>
      </w:r>
    </w:p>
    <w:p w14:paraId="1BCF7A14">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一、保证严格按照相关法律法规规定及本招标文件的相关规定，规范本公司的行为，做到合法、合规参与本次采购活动，正当、公平参与竞争。</w:t>
      </w:r>
    </w:p>
    <w:p w14:paraId="1B7EAA79">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二、本公司保证在采购活动中做到：</w:t>
      </w:r>
    </w:p>
    <w:p w14:paraId="2DA9FCF3">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1.不与其他投标人相互串通报价或恶意低价竞争谋取中标，损害采购人的合法权益；</w:t>
      </w:r>
    </w:p>
    <w:p w14:paraId="28577B2B">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2.不与采购人、采购代理机构串通，围标、串标参与本采购项目，损害采购人利益或他人的合法权益；</w:t>
      </w:r>
    </w:p>
    <w:p w14:paraId="6E03BD10">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以向采购人、采购代理机构或者评标委员会成员通过行贿（包括送礼金礼品、有价证券、购物券、回扣、佣金、咨询费、劳务费、赞助费、宣传费、支付旅游费用、报销各种消费凭证、宴请、娱乐等）手段谋取中标；</w:t>
      </w:r>
    </w:p>
    <w:p w14:paraId="6EEC29DB">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4.不通过提供虚假材料，谋取中标；</w:t>
      </w:r>
    </w:p>
    <w:p w14:paraId="627B6997">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5.保证中标后严格按照本次采购文件及我公司在投标文件中的相关承诺，在规定时间内与采购人签订政府采购合同；</w:t>
      </w:r>
    </w:p>
    <w:p w14:paraId="209DFDCB">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6.不以其他任何方式扰乱本次采购工作；</w:t>
      </w:r>
    </w:p>
    <w:p w14:paraId="26F72DBB">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7.保证严格遵守会议纪律；</w:t>
      </w:r>
    </w:p>
    <w:p w14:paraId="05FFCA6E">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8.不存在本招标文件第十条投标人违法违规行为。</w:t>
      </w:r>
    </w:p>
    <w:p w14:paraId="6C0BF9C5">
      <w:pPr>
        <w:keepNext/>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在本次采购活动中，如有违反以上第二条中的任何一款行为，除承担扣除投标保证金的惩罚外，同意贵方上报上级主管部门，按相关法律规定给予处罚，我公司及项目参与人员完全接受。</w:t>
      </w:r>
    </w:p>
    <w:p w14:paraId="055D83F7">
      <w:pPr>
        <w:keepNext/>
        <w:topLinePunct/>
        <w:adjustRightInd w:val="0"/>
        <w:snapToGrid w:val="0"/>
        <w:spacing w:line="360" w:lineRule="auto"/>
        <w:ind w:firstLine="3120" w:firstLineChars="1300"/>
        <w:rPr>
          <w:rFonts w:hint="eastAsia" w:ascii="宋体" w:hAnsi="宋体" w:eastAsia="宋体" w:cs="宋体"/>
          <w:color w:val="auto"/>
          <w:sz w:val="24"/>
          <w:highlight w:val="none"/>
        </w:rPr>
      </w:pPr>
    </w:p>
    <w:p w14:paraId="7C16D09E">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BBED061">
      <w:pPr>
        <w:keepNext/>
        <w:topLinePunct/>
        <w:adjustRightInd w:val="0"/>
        <w:snapToGrid w:val="0"/>
        <w:spacing w:line="360" w:lineRule="auto"/>
        <w:ind w:firstLine="3120" w:firstLineChars="1300"/>
        <w:rPr>
          <w:rFonts w:hint="eastAsia" w:ascii="宋体" w:hAnsi="宋体" w:eastAsia="宋体" w:cs="宋体"/>
          <w:color w:val="auto"/>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AD7E839">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2C1076B1">
      <w:pPr>
        <w:keepNext/>
        <w:topLinePunct/>
        <w:adjustRightInd w:val="0"/>
        <w:snapToGrid w:val="0"/>
        <w:spacing w:line="360" w:lineRule="auto"/>
        <w:outlineLvl w:val="2"/>
        <w:rPr>
          <w:rFonts w:hint="eastAsia" w:ascii="宋体" w:hAnsi="宋体" w:eastAsia="宋体" w:cs="宋体"/>
          <w:b/>
          <w:color w:val="auto"/>
          <w:kern w:val="0"/>
          <w:sz w:val="24"/>
          <w:highlight w:val="none"/>
          <w:lang w:eastAsia="zh-CN"/>
        </w:rPr>
      </w:pPr>
      <w:r>
        <w:rPr>
          <w:rFonts w:hint="eastAsia" w:ascii="宋体" w:hAnsi="宋体" w:eastAsia="宋体" w:cs="宋体"/>
          <w:color w:val="auto"/>
          <w:kern w:val="0"/>
          <w:sz w:val="24"/>
          <w:szCs w:val="21"/>
          <w:highlight w:val="none"/>
        </w:rPr>
        <w:br w:type="page"/>
      </w:r>
      <w:bookmarkStart w:id="69" w:name="_Toc180347483"/>
      <w:r>
        <w:rPr>
          <w:rFonts w:hint="eastAsia" w:ascii="宋体" w:hAnsi="宋体" w:eastAsia="宋体" w:cs="宋体"/>
          <w:b/>
          <w:color w:val="auto"/>
          <w:kern w:val="0"/>
          <w:sz w:val="24"/>
          <w:highlight w:val="none"/>
        </w:rPr>
        <w:t>8．落实政府采购政策资格要求的证明材料</w:t>
      </w:r>
      <w:bookmarkEnd w:id="69"/>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lang w:val="en-US" w:eastAsia="zh-CN"/>
        </w:rPr>
        <w:t>本项目不涉及，本项保留空白即可</w:t>
      </w:r>
      <w:r>
        <w:rPr>
          <w:rFonts w:hint="eastAsia" w:ascii="宋体" w:hAnsi="宋体" w:cs="宋体"/>
          <w:b/>
          <w:color w:val="auto"/>
          <w:kern w:val="0"/>
          <w:sz w:val="24"/>
          <w:highlight w:val="none"/>
          <w:lang w:eastAsia="zh-CN"/>
        </w:rPr>
        <w:t>）</w:t>
      </w:r>
    </w:p>
    <w:p w14:paraId="6B029833">
      <w:pPr>
        <w:keepNext/>
        <w:topLinePunct/>
        <w:adjustRightInd w:val="0"/>
        <w:snapToGrid w:val="0"/>
        <w:spacing w:line="360" w:lineRule="auto"/>
        <w:ind w:firstLine="482"/>
        <w:rPr>
          <w:rFonts w:hint="eastAsia" w:ascii="宋体" w:hAnsi="宋体" w:eastAsia="宋体" w:cs="宋体"/>
          <w:b/>
          <w:bCs/>
          <w:color w:val="auto"/>
          <w:sz w:val="24"/>
          <w:highlight w:val="none"/>
        </w:rPr>
      </w:pPr>
    </w:p>
    <w:p w14:paraId="3E0B5B57">
      <w:pPr>
        <w:keepNext/>
        <w:topLinePunct/>
        <w:adjustRightInd w:val="0"/>
        <w:snapToGrid w:val="0"/>
        <w:spacing w:line="360" w:lineRule="auto"/>
        <w:ind w:firstLine="482"/>
        <w:rPr>
          <w:rFonts w:hint="eastAsia" w:ascii="宋体" w:hAnsi="宋体" w:eastAsia="宋体" w:cs="宋体"/>
          <w:b/>
          <w:bCs/>
          <w:color w:val="auto"/>
          <w:sz w:val="24"/>
          <w:highlight w:val="none"/>
        </w:rPr>
      </w:pPr>
    </w:p>
    <w:p w14:paraId="7738AC77">
      <w:pPr>
        <w:keepNext/>
        <w:topLinePunct/>
        <w:adjustRightInd w:val="0"/>
        <w:snapToGrid w:val="0"/>
        <w:spacing w:line="360" w:lineRule="auto"/>
        <w:ind w:firstLine="482"/>
        <w:rPr>
          <w:rFonts w:hint="eastAsia" w:ascii="宋体" w:hAnsi="宋体" w:eastAsia="宋体" w:cs="宋体"/>
          <w:b/>
          <w:bCs/>
          <w:color w:val="auto"/>
          <w:sz w:val="24"/>
          <w:highlight w:val="none"/>
        </w:rPr>
      </w:pPr>
    </w:p>
    <w:p w14:paraId="5E731339">
      <w:pPr>
        <w:keepNext/>
        <w:topLinePunct/>
        <w:adjustRightInd w:val="0"/>
        <w:snapToGrid w:val="0"/>
        <w:spacing w:line="360" w:lineRule="auto"/>
        <w:outlineLvl w:val="2"/>
        <w:rPr>
          <w:rFonts w:hint="eastAsia" w:ascii="宋体" w:hAnsi="宋体" w:eastAsia="宋体" w:cs="宋体"/>
          <w:b/>
          <w:color w:val="auto"/>
          <w:kern w:val="0"/>
          <w:sz w:val="24"/>
          <w:highlight w:val="none"/>
        </w:rPr>
      </w:pPr>
      <w:bookmarkStart w:id="70" w:name="_Toc180347484"/>
      <w:r>
        <w:rPr>
          <w:rFonts w:hint="eastAsia" w:ascii="宋体" w:hAnsi="宋体" w:eastAsia="宋体" w:cs="宋体"/>
          <w:b/>
          <w:color w:val="auto"/>
          <w:kern w:val="0"/>
          <w:sz w:val="24"/>
          <w:highlight w:val="none"/>
        </w:rPr>
        <w:t>9．</w:t>
      </w:r>
      <w:bookmarkEnd w:id="70"/>
      <w:r>
        <w:rPr>
          <w:rFonts w:hint="eastAsia" w:ascii="宋体" w:hAnsi="宋体" w:eastAsia="宋体" w:cs="宋体"/>
          <w:b/>
          <w:color w:val="auto"/>
          <w:kern w:val="0"/>
          <w:sz w:val="24"/>
          <w:highlight w:val="none"/>
        </w:rPr>
        <w:t>投标人应具备的特定资格要求证明材料</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lang w:val="en-US" w:eastAsia="zh-CN"/>
        </w:rPr>
        <w:t>本项目不涉及，本项保留空白即可</w:t>
      </w:r>
      <w:r>
        <w:rPr>
          <w:rFonts w:hint="eastAsia" w:ascii="宋体" w:hAnsi="宋体" w:cs="宋体"/>
          <w:b/>
          <w:color w:val="auto"/>
          <w:kern w:val="0"/>
          <w:sz w:val="24"/>
          <w:highlight w:val="none"/>
          <w:lang w:eastAsia="zh-CN"/>
        </w:rPr>
        <w:t>）</w:t>
      </w:r>
    </w:p>
    <w:p w14:paraId="6E6A18C6">
      <w:pPr>
        <w:snapToGrid w:val="0"/>
        <w:spacing w:line="360" w:lineRule="auto"/>
        <w:rPr>
          <w:rFonts w:ascii="Times New Roman" w:hAnsi="Times New Roman"/>
          <w:b/>
          <w:bCs/>
          <w:color w:val="auto"/>
          <w:sz w:val="24"/>
          <w:highlight w:val="none"/>
        </w:rPr>
      </w:pPr>
    </w:p>
    <w:p w14:paraId="2E0C71AC">
      <w:pPr>
        <w:snapToGrid w:val="0"/>
        <w:spacing w:line="360" w:lineRule="auto"/>
        <w:rPr>
          <w:rFonts w:ascii="Times New Roman" w:hAnsi="Times New Roman"/>
          <w:b/>
          <w:bCs/>
          <w:color w:val="auto"/>
          <w:sz w:val="24"/>
          <w:highlight w:val="none"/>
        </w:rPr>
      </w:pPr>
    </w:p>
    <w:p w14:paraId="41698DA9">
      <w:pPr>
        <w:snapToGrid w:val="0"/>
        <w:spacing w:line="360" w:lineRule="auto"/>
        <w:rPr>
          <w:rFonts w:ascii="Times New Roman" w:hAnsi="Times New Roman"/>
          <w:b/>
          <w:bCs/>
          <w:color w:val="auto"/>
          <w:sz w:val="24"/>
          <w:highlight w:val="none"/>
        </w:rPr>
      </w:pPr>
    </w:p>
    <w:p w14:paraId="3988F54F">
      <w:pPr>
        <w:snapToGrid w:val="0"/>
        <w:spacing w:line="360" w:lineRule="auto"/>
        <w:rPr>
          <w:rFonts w:ascii="Times New Roman" w:hAnsi="Times New Roman"/>
          <w:b/>
          <w:bCs/>
          <w:color w:val="auto"/>
          <w:sz w:val="24"/>
          <w:highlight w:val="none"/>
        </w:rPr>
      </w:pPr>
    </w:p>
    <w:p w14:paraId="64771F52">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10．投标保证金提交凭证（影印件或扫描件须加盖投标人公章）。</w:t>
      </w:r>
    </w:p>
    <w:p w14:paraId="5183F441">
      <w:pPr>
        <w:widowControl/>
        <w:jc w:val="left"/>
        <w:rPr>
          <w:rFonts w:hint="eastAsia" w:ascii="宋体" w:hAnsi="宋体" w:eastAsia="宋体" w:cs="宋体"/>
          <w:bCs/>
          <w:color w:val="auto"/>
          <w:sz w:val="24"/>
          <w:highlight w:val="none"/>
        </w:rPr>
      </w:pPr>
    </w:p>
    <w:p w14:paraId="6BBF8294">
      <w:pPr>
        <w:keepNext/>
        <w:spacing w:line="5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投标文件（商务技术文件）封面格式</w:t>
      </w:r>
    </w:p>
    <w:p w14:paraId="5C4A9E92">
      <w:pPr>
        <w:keepNext/>
        <w:snapToGrid w:val="0"/>
        <w:spacing w:line="360" w:lineRule="auto"/>
        <w:ind w:firstLine="560"/>
        <w:rPr>
          <w:rFonts w:hint="eastAsia" w:ascii="宋体" w:hAnsi="宋体" w:eastAsia="宋体" w:cs="宋体"/>
          <w:color w:val="auto"/>
          <w:kern w:val="0"/>
          <w:sz w:val="28"/>
          <w:szCs w:val="32"/>
          <w:highlight w:val="none"/>
        </w:rPr>
      </w:pPr>
    </w:p>
    <w:p w14:paraId="7CD80651">
      <w:pPr>
        <w:keepNext/>
        <w:snapToGrid w:val="0"/>
        <w:spacing w:line="360" w:lineRule="auto"/>
        <w:ind w:firstLine="560"/>
        <w:jc w:val="right"/>
        <w:rPr>
          <w:rFonts w:hint="eastAsia" w:ascii="宋体" w:hAnsi="宋体" w:eastAsia="宋体" w:cs="宋体"/>
          <w:color w:val="auto"/>
          <w:kern w:val="0"/>
          <w:sz w:val="28"/>
          <w:szCs w:val="32"/>
          <w:highlight w:val="none"/>
        </w:rPr>
      </w:pPr>
    </w:p>
    <w:p w14:paraId="0E753991">
      <w:pPr>
        <w:keepNext/>
        <w:snapToGrid w:val="0"/>
        <w:spacing w:line="360" w:lineRule="auto"/>
        <w:ind w:firstLine="560"/>
        <w:jc w:val="right"/>
        <w:rPr>
          <w:rFonts w:hint="eastAsia" w:ascii="宋体" w:hAnsi="宋体" w:eastAsia="宋体" w:cs="宋体"/>
          <w:color w:val="auto"/>
          <w:kern w:val="0"/>
          <w:sz w:val="28"/>
          <w:szCs w:val="32"/>
          <w:highlight w:val="none"/>
        </w:rPr>
      </w:pPr>
    </w:p>
    <w:p w14:paraId="75E69B75">
      <w:pPr>
        <w:keepNext/>
        <w:snapToGrid w:val="0"/>
        <w:spacing w:line="360" w:lineRule="auto"/>
        <w:ind w:firstLine="560"/>
        <w:jc w:val="right"/>
        <w:rPr>
          <w:rFonts w:hint="eastAsia" w:ascii="宋体" w:hAnsi="宋体" w:eastAsia="宋体" w:cs="宋体"/>
          <w:color w:val="auto"/>
          <w:kern w:val="0"/>
          <w:sz w:val="28"/>
          <w:szCs w:val="32"/>
          <w:highlight w:val="none"/>
        </w:rPr>
      </w:pPr>
    </w:p>
    <w:p w14:paraId="449E2500">
      <w:pPr>
        <w:keepNext/>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投  标  文  件</w:t>
      </w:r>
    </w:p>
    <w:p w14:paraId="714C7B9F">
      <w:pPr>
        <w:keepNext/>
        <w:snapToGrid w:val="0"/>
        <w:spacing w:line="360" w:lineRule="auto"/>
        <w:ind w:firstLine="883"/>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（商务技术文件）</w:t>
      </w:r>
    </w:p>
    <w:p w14:paraId="48D2FE97">
      <w:pPr>
        <w:keepNext/>
        <w:snapToGrid w:val="0"/>
        <w:spacing w:line="360" w:lineRule="auto"/>
        <w:ind w:firstLine="560" w:firstLineChars="200"/>
        <w:jc w:val="left"/>
        <w:rPr>
          <w:rFonts w:hint="eastAsia" w:ascii="宋体" w:hAnsi="宋体" w:eastAsia="宋体" w:cs="宋体"/>
          <w:color w:val="auto"/>
          <w:kern w:val="0"/>
          <w:sz w:val="28"/>
          <w:szCs w:val="30"/>
          <w:highlight w:val="none"/>
        </w:rPr>
      </w:pPr>
    </w:p>
    <w:p w14:paraId="0C5627BB">
      <w:pPr>
        <w:keepNext/>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项目名称：</w:t>
      </w:r>
    </w:p>
    <w:p w14:paraId="42D0835A">
      <w:pPr>
        <w:keepNext/>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项目编号：</w:t>
      </w:r>
    </w:p>
    <w:p w14:paraId="340A2386">
      <w:pPr>
        <w:keepNext/>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包    号：</w:t>
      </w:r>
    </w:p>
    <w:p w14:paraId="707CF803">
      <w:pPr>
        <w:pStyle w:val="6"/>
        <w:keepNext/>
        <w:ind w:firstLine="480"/>
        <w:rPr>
          <w:rFonts w:hint="eastAsia" w:ascii="宋体" w:hAnsi="宋体" w:eastAsia="宋体" w:cs="宋体"/>
          <w:color w:val="auto"/>
          <w:highlight w:val="none"/>
        </w:rPr>
      </w:pPr>
    </w:p>
    <w:p w14:paraId="04A06D69">
      <w:pPr>
        <w:pStyle w:val="6"/>
        <w:keepNext/>
        <w:ind w:firstLine="480"/>
        <w:rPr>
          <w:rFonts w:hint="eastAsia" w:ascii="宋体" w:hAnsi="宋体" w:eastAsia="宋体" w:cs="宋体"/>
          <w:color w:val="auto"/>
          <w:highlight w:val="none"/>
        </w:rPr>
      </w:pPr>
    </w:p>
    <w:p w14:paraId="53F7640A">
      <w:pPr>
        <w:pStyle w:val="6"/>
        <w:keepNext/>
        <w:ind w:firstLine="480"/>
        <w:rPr>
          <w:rFonts w:hint="eastAsia" w:ascii="宋体" w:hAnsi="宋体" w:eastAsia="宋体" w:cs="宋体"/>
          <w:color w:val="auto"/>
          <w:highlight w:val="none"/>
        </w:rPr>
      </w:pPr>
    </w:p>
    <w:p w14:paraId="4392721D">
      <w:pPr>
        <w:pStyle w:val="6"/>
        <w:keepNext/>
        <w:ind w:firstLine="480"/>
        <w:rPr>
          <w:rFonts w:hint="eastAsia" w:ascii="宋体" w:hAnsi="宋体" w:eastAsia="宋体" w:cs="宋体"/>
          <w:color w:val="auto"/>
          <w:highlight w:val="none"/>
        </w:rPr>
      </w:pPr>
    </w:p>
    <w:p w14:paraId="4B0EB52B">
      <w:pPr>
        <w:pStyle w:val="6"/>
        <w:keepNext/>
        <w:ind w:firstLine="480"/>
        <w:rPr>
          <w:rFonts w:hint="eastAsia" w:ascii="宋体" w:hAnsi="宋体" w:eastAsia="宋体" w:cs="宋体"/>
          <w:color w:val="auto"/>
          <w:highlight w:val="none"/>
        </w:rPr>
      </w:pPr>
    </w:p>
    <w:p w14:paraId="3FD9E289">
      <w:pPr>
        <w:keepNext/>
        <w:snapToGrid w:val="0"/>
        <w:spacing w:line="360" w:lineRule="auto"/>
        <w:ind w:firstLine="560"/>
        <w:jc w:val="left"/>
        <w:rPr>
          <w:rFonts w:hint="eastAsia" w:ascii="宋体" w:hAnsi="宋体" w:eastAsia="宋体" w:cs="宋体"/>
          <w:color w:val="auto"/>
          <w:kern w:val="0"/>
          <w:sz w:val="28"/>
          <w:highlight w:val="none"/>
        </w:rPr>
      </w:pPr>
    </w:p>
    <w:p w14:paraId="37FED148">
      <w:pPr>
        <w:keepNext/>
        <w:snapToGrid w:val="0"/>
        <w:spacing w:line="360" w:lineRule="auto"/>
        <w:ind w:firstLine="560"/>
        <w:jc w:val="center"/>
        <w:rPr>
          <w:rFonts w:hint="eastAsia" w:ascii="宋体" w:hAnsi="宋体" w:eastAsia="宋体" w:cs="宋体"/>
          <w:color w:val="auto"/>
          <w:kern w:val="0"/>
          <w:sz w:val="28"/>
          <w:highlight w:val="none"/>
        </w:rPr>
      </w:pPr>
    </w:p>
    <w:p w14:paraId="19350FEB">
      <w:pPr>
        <w:keepNext/>
        <w:snapToGrid w:val="0"/>
        <w:spacing w:line="360" w:lineRule="auto"/>
        <w:ind w:firstLine="560"/>
        <w:jc w:val="cente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 xml:space="preserve">投标人全称：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（盖章）</w:t>
      </w:r>
    </w:p>
    <w:p w14:paraId="1E7E2B0C">
      <w:pPr>
        <w:keepNext/>
        <w:snapToGrid w:val="0"/>
        <w:spacing w:line="360" w:lineRule="auto"/>
        <w:ind w:firstLine="560"/>
        <w:jc w:val="cente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法定代表人（负责人）或授权代表：</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（签字或盖章）</w:t>
      </w:r>
    </w:p>
    <w:p w14:paraId="03F39960">
      <w:pPr>
        <w:keepNext/>
        <w:snapToGrid w:val="0"/>
        <w:spacing w:line="360" w:lineRule="auto"/>
        <w:ind w:firstLine="600"/>
        <w:rPr>
          <w:rFonts w:hint="eastAsia" w:ascii="宋体" w:hAnsi="宋体" w:eastAsia="宋体" w:cs="宋体"/>
          <w:color w:val="auto"/>
          <w:kern w:val="0"/>
          <w:sz w:val="30"/>
          <w:szCs w:val="30"/>
          <w:highlight w:val="none"/>
          <w:u w:val="single"/>
        </w:rPr>
      </w:pPr>
    </w:p>
    <w:p w14:paraId="1AD6C8C6">
      <w:pPr>
        <w:keepNext/>
        <w:snapToGrid w:val="0"/>
        <w:spacing w:line="360" w:lineRule="auto"/>
        <w:ind w:firstLine="600"/>
        <w:rPr>
          <w:rFonts w:hint="eastAsia" w:ascii="宋体" w:hAnsi="宋体" w:eastAsia="宋体" w:cs="宋体"/>
          <w:color w:val="auto"/>
          <w:kern w:val="0"/>
          <w:sz w:val="30"/>
          <w:szCs w:val="30"/>
          <w:highlight w:val="none"/>
          <w:u w:val="single"/>
        </w:rPr>
      </w:pPr>
    </w:p>
    <w:p w14:paraId="6FE576D9">
      <w:pPr>
        <w:keepNext/>
        <w:snapToGrid w:val="0"/>
        <w:spacing w:line="360" w:lineRule="auto"/>
        <w:ind w:firstLine="600"/>
        <w:jc w:val="center"/>
        <w:rPr>
          <w:rFonts w:hint="eastAsia" w:ascii="宋体" w:hAnsi="宋体" w:eastAsia="宋体" w:cs="宋体"/>
          <w:bCs/>
          <w:color w:val="auto"/>
          <w:sz w:val="24"/>
          <w:highlight w:val="none"/>
        </w:rPr>
      </w:pPr>
      <w:r>
        <w:rPr>
          <w:rFonts w:hint="eastAsia" w:ascii="宋体" w:hAnsi="宋体" w:eastAsia="宋体" w:cs="宋体"/>
          <w:color w:val="auto"/>
          <w:kern w:val="0"/>
          <w:sz w:val="30"/>
          <w:szCs w:val="30"/>
          <w:highlight w:val="none"/>
        </w:rPr>
        <w:t>二〇二</w:t>
      </w:r>
      <w:r>
        <w:rPr>
          <w:rFonts w:hint="eastAsia" w:ascii="宋体" w:hAnsi="宋体" w:cs="宋体"/>
          <w:color w:val="auto"/>
          <w:kern w:val="0"/>
          <w:sz w:val="30"/>
          <w:szCs w:val="30"/>
          <w:highlight w:val="none"/>
          <w:lang w:val="en-US" w:eastAsia="zh-CN"/>
        </w:rPr>
        <w:t>五</w:t>
      </w:r>
      <w:r>
        <w:rPr>
          <w:rFonts w:hint="eastAsia" w:ascii="宋体" w:hAnsi="宋体" w:eastAsia="宋体" w:cs="宋体"/>
          <w:color w:val="auto"/>
          <w:kern w:val="0"/>
          <w:sz w:val="30"/>
          <w:szCs w:val="30"/>
          <w:highlight w:val="none"/>
        </w:rPr>
        <w:t>年   月   日</w:t>
      </w:r>
    </w:p>
    <w:p w14:paraId="67BAAF3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285494C">
      <w:pPr>
        <w:keepNext/>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目录格式</w:t>
      </w:r>
    </w:p>
    <w:p w14:paraId="56D3E804">
      <w:pPr>
        <w:keepNext/>
        <w:spacing w:line="360" w:lineRule="auto"/>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p>
    <w:p w14:paraId="16D6C65D">
      <w:pPr>
        <w:pStyle w:val="16"/>
        <w:keepNext/>
        <w:widowControl w:val="0"/>
        <w:ind w:firstLine="420"/>
        <w:rPr>
          <w:rFonts w:hint="eastAsia" w:ascii="宋体" w:hAnsi="宋体" w:eastAsia="宋体" w:cs="宋体"/>
          <w:color w:val="auto"/>
          <w:highlight w:val="none"/>
        </w:rPr>
      </w:pPr>
    </w:p>
    <w:p w14:paraId="68491084">
      <w:pPr>
        <w:keepNext/>
        <w:spacing w:line="360" w:lineRule="auto"/>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商务、技术文件部分</w:t>
      </w:r>
    </w:p>
    <w:p w14:paraId="723D3D34">
      <w:pPr>
        <w:pStyle w:val="16"/>
        <w:keepNext/>
        <w:widowControl w:val="0"/>
        <w:ind w:firstLine="420"/>
        <w:rPr>
          <w:rFonts w:hint="eastAsia" w:ascii="宋体" w:hAnsi="宋体" w:eastAsia="宋体" w:cs="宋体"/>
          <w:color w:val="auto"/>
          <w:highlight w:val="none"/>
        </w:rPr>
      </w:pPr>
    </w:p>
    <w:p w14:paraId="4B161A09">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1.法定代表人（负责人）身份证明书………………………………………………</w:t>
      </w:r>
    </w:p>
    <w:p w14:paraId="40CF6298">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2.法定代表人（负责人）授权委托书………………………………………………</w:t>
      </w:r>
    </w:p>
    <w:p w14:paraId="669B6E77">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3.投标函………………………………………………………………………………</w:t>
      </w:r>
    </w:p>
    <w:p w14:paraId="4E27FF58">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4.开标一览表…………………………………………………………………………</w:t>
      </w:r>
    </w:p>
    <w:p w14:paraId="0CF2223E">
      <w:pPr>
        <w:pStyle w:val="10"/>
        <w:keepNext/>
        <w:topLinePunct/>
        <w:adjustRightInd w:val="0"/>
        <w:snapToGrid w:val="0"/>
        <w:spacing w:line="360" w:lineRule="auto"/>
        <w:ind w:firstLine="480" w:firstLineChars="2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w:t>
      </w:r>
      <w:r>
        <w:rPr>
          <w:rFonts w:hint="eastAsia" w:hAnsi="宋体" w:cs="宋体"/>
          <w:color w:val="auto"/>
          <w:sz w:val="24"/>
          <w:szCs w:val="22"/>
          <w:highlight w:val="none"/>
          <w:lang w:eastAsia="zh-CN"/>
        </w:rPr>
        <w:t>投标文件商务响应表</w:t>
      </w:r>
      <w:r>
        <w:rPr>
          <w:rFonts w:hint="eastAsia" w:ascii="宋体" w:hAnsi="宋体" w:eastAsia="宋体" w:cs="宋体"/>
          <w:color w:val="auto"/>
          <w:sz w:val="24"/>
          <w:szCs w:val="22"/>
          <w:highlight w:val="none"/>
        </w:rPr>
        <w:t>…………………………………………………………………</w:t>
      </w:r>
    </w:p>
    <w:p w14:paraId="6ADB24C8">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w:t>
      </w:r>
      <w:r>
        <w:rPr>
          <w:rFonts w:hint="eastAsia" w:hAnsi="宋体" w:cs="宋体"/>
          <w:color w:val="auto"/>
          <w:sz w:val="24"/>
          <w:szCs w:val="22"/>
          <w:highlight w:val="none"/>
          <w:lang w:eastAsia="zh-CN"/>
        </w:rPr>
        <w:t>投标文件技术响应表</w:t>
      </w:r>
      <w:r>
        <w:rPr>
          <w:rFonts w:hint="eastAsia" w:ascii="宋体" w:hAnsi="宋体" w:eastAsia="宋体" w:cs="宋体"/>
          <w:color w:val="auto"/>
          <w:sz w:val="24"/>
          <w:szCs w:val="22"/>
          <w:highlight w:val="none"/>
        </w:rPr>
        <w:t>………………………………………………………………</w:t>
      </w:r>
    </w:p>
    <w:p w14:paraId="4E49EC77">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7.采购货物主要技术指标和运行性能的详细描述或同投标货物型号一致的产品彩页…………………………………………………………………………………</w:t>
      </w:r>
    </w:p>
    <w:p w14:paraId="67EB2ABF">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8.投标文件提交截止时间前三年内同类项目合同案例列表及相关证明资料……</w:t>
      </w:r>
    </w:p>
    <w:p w14:paraId="1D9F65A3">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9.企业信誉证明材料…………………………………………………………………</w:t>
      </w:r>
    </w:p>
    <w:p w14:paraId="763E4674">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10.团队组成…………………………………………………………………………</w:t>
      </w:r>
    </w:p>
    <w:p w14:paraId="269D026C">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11.投标人配套服务方案与承诺……………………………………………………</w:t>
      </w:r>
    </w:p>
    <w:p w14:paraId="439B93CF">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hAnsi="宋体" w:cs="宋体"/>
          <w:color w:val="auto"/>
          <w:sz w:val="24"/>
          <w:szCs w:val="22"/>
          <w:highlight w:val="none"/>
          <w:lang w:val="en-US" w:eastAsia="zh-CN"/>
        </w:rPr>
        <w:t>2</w:t>
      </w:r>
      <w:r>
        <w:rPr>
          <w:rFonts w:hint="eastAsia" w:ascii="宋体" w:hAnsi="宋体" w:eastAsia="宋体" w:cs="宋体"/>
          <w:color w:val="auto"/>
          <w:sz w:val="24"/>
          <w:szCs w:val="22"/>
          <w:highlight w:val="none"/>
        </w:rPr>
        <w:t>.实施时间进度表…………………………………………………………………</w:t>
      </w:r>
    </w:p>
    <w:p w14:paraId="6FCC75C2">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hAnsi="宋体" w:cs="宋体"/>
          <w:color w:val="auto"/>
          <w:sz w:val="24"/>
          <w:szCs w:val="22"/>
          <w:highlight w:val="none"/>
          <w:lang w:val="en-US" w:eastAsia="zh-CN"/>
        </w:rPr>
        <w:t>3</w:t>
      </w:r>
      <w:r>
        <w:rPr>
          <w:rFonts w:hint="eastAsia" w:ascii="宋体" w:hAnsi="宋体" w:eastAsia="宋体" w:cs="宋体"/>
          <w:color w:val="auto"/>
          <w:sz w:val="24"/>
          <w:szCs w:val="22"/>
          <w:highlight w:val="none"/>
        </w:rPr>
        <w:t>.投标人认为需要提供的其他商务、技术材料…………………………………</w:t>
      </w:r>
    </w:p>
    <w:p w14:paraId="448F46EB">
      <w:pPr>
        <w:pStyle w:val="10"/>
        <w:keepNext/>
        <w:topLinePunct/>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hAnsi="宋体" w:cs="宋体"/>
          <w:color w:val="auto"/>
          <w:sz w:val="24"/>
          <w:szCs w:val="22"/>
          <w:highlight w:val="none"/>
          <w:lang w:val="en-US" w:eastAsia="zh-CN"/>
        </w:rPr>
        <w:t>4</w:t>
      </w:r>
      <w:r>
        <w:rPr>
          <w:rFonts w:hint="eastAsia" w:ascii="宋体" w:hAnsi="宋体" w:eastAsia="宋体" w:cs="宋体"/>
          <w:color w:val="auto"/>
          <w:sz w:val="24"/>
          <w:szCs w:val="22"/>
          <w:highlight w:val="none"/>
        </w:rPr>
        <w:t>.政府采购政策性要求证明材料…………………………………………………</w:t>
      </w:r>
    </w:p>
    <w:p w14:paraId="13578DBB">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ED37E8C">
      <w:pPr>
        <w:keepNext/>
        <w:tabs>
          <w:tab w:val="left" w:pos="2070"/>
          <w:tab w:val="center" w:pos="4365"/>
        </w:tabs>
        <w:snapToGrid w:val="0"/>
        <w:spacing w:line="360" w:lineRule="auto"/>
        <w:ind w:firstLine="643"/>
        <w:jc w:val="center"/>
        <w:outlineLvl w:val="1"/>
        <w:rPr>
          <w:rFonts w:hint="eastAsia" w:ascii="宋体" w:hAnsi="宋体" w:eastAsia="宋体" w:cs="宋体"/>
          <w:b/>
          <w:color w:val="auto"/>
          <w:kern w:val="0"/>
          <w:sz w:val="32"/>
          <w:szCs w:val="32"/>
          <w:highlight w:val="none"/>
        </w:rPr>
      </w:pPr>
      <w:bookmarkStart w:id="71" w:name="_Toc180347485"/>
      <w:r>
        <w:rPr>
          <w:rFonts w:hint="eastAsia" w:ascii="宋体" w:hAnsi="宋体" w:eastAsia="宋体" w:cs="宋体"/>
          <w:b/>
          <w:color w:val="auto"/>
          <w:kern w:val="0"/>
          <w:sz w:val="32"/>
          <w:szCs w:val="32"/>
          <w:highlight w:val="none"/>
        </w:rPr>
        <w:t>商务、技术部分</w:t>
      </w:r>
      <w:bookmarkEnd w:id="71"/>
    </w:p>
    <w:p w14:paraId="30F79C48">
      <w:pPr>
        <w:keepNext/>
        <w:topLinePunct/>
        <w:adjustRightInd w:val="0"/>
        <w:snapToGrid w:val="0"/>
        <w:spacing w:line="360" w:lineRule="auto"/>
        <w:outlineLvl w:val="2"/>
        <w:rPr>
          <w:rFonts w:hint="eastAsia" w:ascii="宋体" w:hAnsi="宋体" w:eastAsia="宋体" w:cs="宋体"/>
          <w:b/>
          <w:color w:val="auto"/>
          <w:kern w:val="0"/>
          <w:sz w:val="24"/>
          <w:highlight w:val="none"/>
        </w:rPr>
      </w:pPr>
      <w:bookmarkStart w:id="72" w:name="_Toc180347486"/>
      <w:r>
        <w:rPr>
          <w:rFonts w:hint="eastAsia" w:ascii="宋体" w:hAnsi="宋体" w:eastAsia="宋体" w:cs="宋体"/>
          <w:b/>
          <w:color w:val="auto"/>
          <w:kern w:val="0"/>
          <w:sz w:val="24"/>
          <w:highlight w:val="none"/>
        </w:rPr>
        <w:t>1．法定代表人（负责人）身份证明书</w:t>
      </w:r>
      <w:bookmarkEnd w:id="72"/>
    </w:p>
    <w:p w14:paraId="13E2A9EE">
      <w:pPr>
        <w:keepNext/>
        <w:snapToGrid w:val="0"/>
        <w:spacing w:line="360" w:lineRule="auto"/>
        <w:ind w:firstLine="562"/>
        <w:rPr>
          <w:rFonts w:hint="eastAsia" w:ascii="宋体" w:hAnsi="宋体" w:eastAsia="宋体" w:cs="宋体"/>
          <w:b/>
          <w:color w:val="auto"/>
          <w:kern w:val="0"/>
          <w:sz w:val="28"/>
          <w:szCs w:val="28"/>
          <w:highlight w:val="none"/>
        </w:rPr>
      </w:pPr>
    </w:p>
    <w:p w14:paraId="0EE14F22">
      <w:pPr>
        <w:keepNext/>
        <w:topLinePunct/>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 xml:space="preserve">法定代表人（负责人）身份证明书 </w:t>
      </w:r>
    </w:p>
    <w:p w14:paraId="3B4B948F">
      <w:pPr>
        <w:keepNext/>
        <w:topLinePunct/>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p>
    <w:p w14:paraId="64F5C6AA">
      <w:pPr>
        <w:keepNext/>
        <w:topLinePunct/>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p>
    <w:p w14:paraId="078D09E6">
      <w:pPr>
        <w:keepNext/>
        <w:topLinePunct/>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p>
    <w:p w14:paraId="19D76E8E">
      <w:pPr>
        <w:keepNext/>
        <w:topLinePunct/>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6E5EAC22">
      <w:pPr>
        <w:keepNext/>
        <w:topLinePunct/>
        <w:adjustRightInd w:val="0"/>
        <w:snapToGrid w:val="0"/>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p>
    <w:p w14:paraId="4D92EF47">
      <w:pPr>
        <w:keepNext/>
        <w:topLinePunct/>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    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性  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p>
    <w:p w14:paraId="66FCC277">
      <w:pPr>
        <w:keepNext/>
        <w:topLinePunct/>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职  务：</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p>
    <w:p w14:paraId="3D2DF97A">
      <w:pPr>
        <w:keepNext/>
        <w:topLinePunct/>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xml:space="preserve">       （投标人名称）          </w:t>
      </w:r>
      <w:r>
        <w:rPr>
          <w:rFonts w:hint="eastAsia" w:ascii="宋体" w:hAnsi="宋体" w:eastAsia="宋体" w:cs="宋体"/>
          <w:color w:val="auto"/>
          <w:kern w:val="0"/>
          <w:sz w:val="24"/>
          <w:highlight w:val="none"/>
        </w:rPr>
        <w:t>的法定代表人。</w:t>
      </w:r>
    </w:p>
    <w:p w14:paraId="696A2BE0">
      <w:pPr>
        <w:keepNext/>
        <w:topLinePunct/>
        <w:snapToGrid w:val="0"/>
        <w:spacing w:line="360" w:lineRule="auto"/>
        <w:ind w:firstLine="480" w:firstLineChars="200"/>
        <w:jc w:val="left"/>
        <w:rPr>
          <w:rFonts w:hint="eastAsia" w:ascii="宋体" w:hAnsi="宋体" w:eastAsia="宋体" w:cs="宋体"/>
          <w:color w:val="auto"/>
          <w:kern w:val="0"/>
          <w:sz w:val="24"/>
          <w:highlight w:val="none"/>
        </w:rPr>
      </w:pPr>
    </w:p>
    <w:p w14:paraId="4D6701AF">
      <w:pPr>
        <w:keepNext/>
        <w:topLinePunct/>
        <w:snapToGrid w:val="0"/>
        <w:spacing w:line="360" w:lineRule="auto"/>
        <w:ind w:firstLine="960" w:firstLineChars="4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14:paraId="1755FFEE">
      <w:pPr>
        <w:keepNext/>
        <w:topLinePunct/>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861103B">
      <w:pPr>
        <w:keepNext/>
        <w:topLinePunct/>
        <w:adjustRightInd w:val="0"/>
        <w:snapToGrid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EF6A046">
      <w:pPr>
        <w:keepNext/>
        <w:topLinePunct/>
        <w:adjustRightInd w:val="0"/>
        <w:snapToGrid w:val="0"/>
        <w:spacing w:line="360" w:lineRule="auto"/>
        <w:ind w:firstLine="3120" w:firstLineChars="1300"/>
        <w:rPr>
          <w:rFonts w:hint="eastAsia" w:ascii="宋体" w:hAnsi="宋体" w:eastAsia="宋体" w:cs="宋体"/>
          <w:color w:val="auto"/>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2E4460D">
      <w:pPr>
        <w:keepNext/>
        <w:topLinePunct/>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006C2D1C">
      <w:pPr>
        <w:keepNext/>
        <w:topLinePunct/>
        <w:spacing w:line="360" w:lineRule="auto"/>
        <w:ind w:firstLine="480"/>
        <w:rPr>
          <w:rFonts w:hint="eastAsia" w:ascii="宋体" w:hAnsi="宋体" w:eastAsia="宋体" w:cs="宋体"/>
          <w:color w:val="auto"/>
          <w:kern w:val="0"/>
          <w:sz w:val="24"/>
          <w:highlight w:val="none"/>
        </w:rPr>
      </w:pPr>
    </w:p>
    <w:p w14:paraId="3FA4CBED">
      <w:pPr>
        <w:keepNext/>
        <w:topLinePunc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附：法定代表人（负责人）身份证明正反面扫描件或影印件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A2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3B71D75">
            <w:pPr>
              <w:keepNext/>
              <w:topLinePunct/>
              <w:spacing w:line="360" w:lineRule="auto"/>
              <w:ind w:firstLine="480"/>
              <w:rPr>
                <w:rFonts w:hint="eastAsia" w:ascii="宋体" w:hAnsi="宋体" w:eastAsia="宋体" w:cs="宋体"/>
                <w:color w:val="auto"/>
                <w:sz w:val="24"/>
                <w:highlight w:val="none"/>
              </w:rPr>
            </w:pPr>
          </w:p>
        </w:tc>
        <w:tc>
          <w:tcPr>
            <w:tcW w:w="4615" w:type="dxa"/>
          </w:tcPr>
          <w:p w14:paraId="7285BE1E">
            <w:pPr>
              <w:keepNext/>
              <w:topLinePunct/>
              <w:spacing w:line="360" w:lineRule="auto"/>
              <w:ind w:firstLine="480"/>
              <w:rPr>
                <w:rFonts w:hint="eastAsia" w:ascii="宋体" w:hAnsi="宋体" w:eastAsia="宋体" w:cs="宋体"/>
                <w:color w:val="auto"/>
                <w:sz w:val="24"/>
                <w:highlight w:val="none"/>
              </w:rPr>
            </w:pPr>
          </w:p>
        </w:tc>
      </w:tr>
    </w:tbl>
    <w:p w14:paraId="663B65C5">
      <w:pPr>
        <w:keepNext/>
        <w:topLinePunct/>
        <w:snapToGrid w:val="0"/>
        <w:spacing w:line="360" w:lineRule="auto"/>
        <w:ind w:firstLine="480"/>
        <w:rPr>
          <w:rFonts w:hint="eastAsia" w:ascii="宋体" w:hAnsi="宋体" w:eastAsia="宋体" w:cs="宋体"/>
          <w:color w:val="auto"/>
          <w:sz w:val="24"/>
          <w:highlight w:val="none"/>
        </w:rPr>
      </w:pPr>
    </w:p>
    <w:p w14:paraId="5EC99884">
      <w:pPr>
        <w:keepNext/>
        <w:snapToGrid w:val="0"/>
        <w:spacing w:line="360" w:lineRule="auto"/>
        <w:ind w:firstLine="480"/>
        <w:rPr>
          <w:rFonts w:hint="eastAsia" w:ascii="宋体" w:hAnsi="宋体" w:eastAsia="宋体" w:cs="宋体"/>
          <w:color w:val="auto"/>
          <w:sz w:val="24"/>
          <w:highlight w:val="none"/>
        </w:rPr>
      </w:pPr>
    </w:p>
    <w:p w14:paraId="5B96B6D8">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br w:type="page"/>
      </w:r>
      <w:bookmarkStart w:id="73" w:name="_Toc180347487"/>
      <w:r>
        <w:rPr>
          <w:rFonts w:hint="eastAsia" w:ascii="宋体" w:hAnsi="宋体" w:eastAsia="宋体" w:cs="宋体"/>
          <w:b/>
          <w:color w:val="auto"/>
          <w:kern w:val="0"/>
          <w:sz w:val="24"/>
          <w:highlight w:val="none"/>
        </w:rPr>
        <w:t>2．法定代表人（负责人）授权委托书</w:t>
      </w:r>
      <w:bookmarkEnd w:id="73"/>
    </w:p>
    <w:p w14:paraId="4A455C73">
      <w:pPr>
        <w:keepNext/>
        <w:topLinePunct/>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法定代表人（负责人）授权委托书</w:t>
      </w:r>
    </w:p>
    <w:p w14:paraId="5C9B22C5">
      <w:pPr>
        <w:keepNext/>
        <w:topLinePunct/>
        <w:snapToGrid w:val="0"/>
        <w:spacing w:line="360" w:lineRule="auto"/>
        <w:ind w:firstLine="560"/>
        <w:jc w:val="left"/>
        <w:rPr>
          <w:rFonts w:hint="eastAsia" w:ascii="宋体" w:hAnsi="宋体" w:eastAsia="宋体" w:cs="宋体"/>
          <w:color w:val="auto"/>
          <w:kern w:val="0"/>
          <w:sz w:val="28"/>
          <w:szCs w:val="21"/>
          <w:highlight w:val="none"/>
        </w:rPr>
      </w:pPr>
    </w:p>
    <w:p w14:paraId="558C3EF5">
      <w:pPr>
        <w:keepNext/>
        <w:topLinePunct/>
        <w:snapToGrid w:val="0"/>
        <w:spacing w:line="48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采购代理机构名称</w:t>
      </w:r>
      <w:r>
        <w:rPr>
          <w:rFonts w:hint="eastAsia" w:ascii="宋体" w:hAnsi="宋体" w:eastAsia="宋体" w:cs="宋体"/>
          <w:color w:val="auto"/>
          <w:kern w:val="0"/>
          <w:sz w:val="24"/>
          <w:highlight w:val="none"/>
        </w:rPr>
        <w:t>：</w:t>
      </w:r>
    </w:p>
    <w:p w14:paraId="6381F70C">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本授权书声明：注册于</w:t>
      </w:r>
      <w:r>
        <w:rPr>
          <w:rFonts w:hint="eastAsia" w:ascii="宋体" w:hAnsi="宋体" w:eastAsia="宋体" w:cs="宋体"/>
          <w:color w:val="auto"/>
          <w:kern w:val="0"/>
          <w:sz w:val="24"/>
          <w:highlight w:val="none"/>
          <w:u w:val="single"/>
        </w:rPr>
        <w:t xml:space="preserve">        （投标人住址）     </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 xml:space="preserve">    （投标人名称）  </w:t>
      </w: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（法定代表人或负责人姓名、职务）       </w:t>
      </w:r>
      <w:r>
        <w:rPr>
          <w:rFonts w:hint="eastAsia" w:ascii="宋体" w:hAnsi="宋体" w:eastAsia="宋体" w:cs="宋体"/>
          <w:color w:val="auto"/>
          <w:kern w:val="0"/>
          <w:sz w:val="24"/>
          <w:highlight w:val="none"/>
        </w:rPr>
        <w:t>代表本公司授权</w:t>
      </w:r>
      <w:r>
        <w:rPr>
          <w:rFonts w:hint="eastAsia" w:ascii="宋体" w:hAnsi="宋体" w:eastAsia="宋体" w:cs="宋体"/>
          <w:color w:val="auto"/>
          <w:kern w:val="0"/>
          <w:sz w:val="24"/>
          <w:highlight w:val="none"/>
          <w:u w:val="single"/>
        </w:rPr>
        <w:t xml:space="preserve">         （被授权人姓名、职务）   </w:t>
      </w:r>
      <w:r>
        <w:rPr>
          <w:rFonts w:hint="eastAsia" w:ascii="宋体" w:hAnsi="宋体" w:eastAsia="宋体" w:cs="宋体"/>
          <w:color w:val="auto"/>
          <w:kern w:val="0"/>
          <w:sz w:val="24"/>
          <w:highlight w:val="none"/>
        </w:rPr>
        <w:t>为本公司的合法代理人，就贵方组织的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项目编号：                     </w:t>
      </w:r>
      <w:r>
        <w:rPr>
          <w:rFonts w:hint="eastAsia" w:ascii="宋体" w:hAnsi="宋体" w:eastAsia="宋体" w:cs="宋体"/>
          <w:color w:val="auto"/>
          <w:kern w:val="0"/>
          <w:sz w:val="24"/>
          <w:highlight w:val="none"/>
        </w:rPr>
        <w:t>，以本公司名义处理一切与之有关的事务。</w:t>
      </w:r>
    </w:p>
    <w:p w14:paraId="5C039D03">
      <w:pPr>
        <w:keepNext/>
        <w:topLinePunct/>
        <w:snapToGrid w:val="0"/>
        <w:spacing w:line="360" w:lineRule="auto"/>
        <w:ind w:firstLine="480"/>
        <w:jc w:val="left"/>
        <w:rPr>
          <w:rFonts w:hint="eastAsia" w:ascii="宋体" w:hAnsi="宋体" w:eastAsia="宋体" w:cs="宋体"/>
          <w:color w:val="auto"/>
          <w:kern w:val="0"/>
          <w:sz w:val="24"/>
          <w:highlight w:val="none"/>
        </w:rPr>
      </w:pPr>
    </w:p>
    <w:p w14:paraId="22CCE7B9">
      <w:pPr>
        <w:keepNext/>
        <w:topLinePunct/>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本授权书于    年  月  日起生效。</w:t>
      </w:r>
    </w:p>
    <w:p w14:paraId="5DA3CBF0">
      <w:pPr>
        <w:keepNext/>
        <w:topLinePunct/>
        <w:snapToGrid w:val="0"/>
        <w:spacing w:line="360" w:lineRule="auto"/>
        <w:ind w:firstLine="480"/>
        <w:jc w:val="left"/>
        <w:rPr>
          <w:rFonts w:hint="eastAsia" w:ascii="宋体" w:hAnsi="宋体" w:eastAsia="宋体" w:cs="宋体"/>
          <w:color w:val="auto"/>
          <w:kern w:val="0"/>
          <w:sz w:val="24"/>
          <w:highlight w:val="none"/>
        </w:rPr>
      </w:pPr>
    </w:p>
    <w:p w14:paraId="65038A33">
      <w:pPr>
        <w:keepNext/>
        <w:topLinePunct/>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60BDAA60">
      <w:pPr>
        <w:keepNext/>
        <w:topLinePunct/>
        <w:snapToGrid w:val="0"/>
        <w:spacing w:line="360" w:lineRule="auto"/>
        <w:ind w:firstLine="480"/>
        <w:rPr>
          <w:rFonts w:hint="eastAsia" w:ascii="宋体" w:hAnsi="宋体" w:eastAsia="宋体" w:cs="宋体"/>
          <w:color w:val="auto"/>
          <w:kern w:val="0"/>
          <w:sz w:val="24"/>
          <w:highlight w:val="none"/>
        </w:rPr>
      </w:pPr>
    </w:p>
    <w:p w14:paraId="68B5C0E0">
      <w:pPr>
        <w:keepNext/>
        <w:topLinePunct/>
        <w:snapToGrid w:val="0"/>
        <w:spacing w:line="480" w:lineRule="auto"/>
        <w:ind w:firstLine="384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1D1B2509">
      <w:pPr>
        <w:keepNext/>
        <w:topLinePunct/>
        <w:snapToGrid w:val="0"/>
        <w:spacing w:line="480" w:lineRule="auto"/>
        <w:ind w:firstLine="384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944FE03">
      <w:pPr>
        <w:keepNext/>
        <w:topLinePunct/>
        <w:snapToGrid w:val="0"/>
        <w:spacing w:line="480" w:lineRule="auto"/>
        <w:ind w:firstLine="3840" w:firstLineChars="16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被授权人代表：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19A13068">
      <w:pPr>
        <w:keepNext/>
        <w:tabs>
          <w:tab w:val="left" w:pos="730"/>
        </w:tabs>
        <w:topLinePunct/>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附：被授权人代表身份证明正反面扫描件或影印件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419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tcPr>
          <w:p w14:paraId="45BF4104">
            <w:pPr>
              <w:keepNext/>
              <w:topLinePunct/>
              <w:spacing w:line="360" w:lineRule="auto"/>
              <w:ind w:firstLine="480"/>
              <w:rPr>
                <w:rFonts w:hint="eastAsia" w:ascii="宋体" w:hAnsi="宋体" w:eastAsia="宋体" w:cs="宋体"/>
                <w:color w:val="auto"/>
                <w:sz w:val="24"/>
                <w:highlight w:val="none"/>
              </w:rPr>
            </w:pPr>
          </w:p>
        </w:tc>
        <w:tc>
          <w:tcPr>
            <w:tcW w:w="4349" w:type="dxa"/>
          </w:tcPr>
          <w:p w14:paraId="7F94CC54">
            <w:pPr>
              <w:keepNext/>
              <w:topLinePunct/>
              <w:spacing w:line="360" w:lineRule="auto"/>
              <w:ind w:firstLine="480"/>
              <w:rPr>
                <w:rFonts w:hint="eastAsia" w:ascii="宋体" w:hAnsi="宋体" w:eastAsia="宋体" w:cs="宋体"/>
                <w:color w:val="auto"/>
                <w:sz w:val="24"/>
                <w:highlight w:val="none"/>
              </w:rPr>
            </w:pPr>
          </w:p>
        </w:tc>
      </w:tr>
    </w:tbl>
    <w:p w14:paraId="1D50DDCA">
      <w:pPr>
        <w:keepNext/>
        <w:topLinePunct/>
        <w:snapToGrid w:val="0"/>
        <w:spacing w:line="360" w:lineRule="auto"/>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14:paraId="18ED8AD1">
      <w:pPr>
        <w:keepNext/>
        <w:topLinePunct/>
        <w:snapToGrid w:val="0"/>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1.除可填报内容外，对本法定代表人授权委托书内容的任何修改将被视为未实质性响应，从而导致该投标文件被拒绝；</w:t>
      </w:r>
    </w:p>
    <w:p w14:paraId="2BF62940">
      <w:pPr>
        <w:keepNext/>
        <w:tabs>
          <w:tab w:val="left" w:pos="567"/>
        </w:tabs>
        <w:snapToGrid w:val="0"/>
        <w:spacing w:line="360" w:lineRule="auto"/>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2.若投标人授权代表为法定代表人（负责人）的可不提供。</w:t>
      </w:r>
    </w:p>
    <w:p w14:paraId="10D7B05C">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74" w:name="_Toc180347488"/>
      <w:r>
        <w:rPr>
          <w:rFonts w:hint="eastAsia" w:ascii="宋体" w:hAnsi="宋体" w:eastAsia="宋体" w:cs="宋体"/>
          <w:b/>
          <w:color w:val="auto"/>
          <w:kern w:val="0"/>
          <w:sz w:val="24"/>
          <w:highlight w:val="none"/>
        </w:rPr>
        <w:t>3．投标函</w:t>
      </w:r>
      <w:bookmarkEnd w:id="74"/>
    </w:p>
    <w:p w14:paraId="15A2A69A">
      <w:pPr>
        <w:keepNext/>
        <w:topLinePunct/>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投  标  函</w:t>
      </w:r>
    </w:p>
    <w:p w14:paraId="7DA78129">
      <w:pPr>
        <w:keepNext/>
        <w:topLinePunct/>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采购代理机构名称</w:t>
      </w:r>
      <w:r>
        <w:rPr>
          <w:rFonts w:hint="eastAsia" w:ascii="宋体" w:hAnsi="宋体" w:eastAsia="宋体" w:cs="宋体"/>
          <w:color w:val="auto"/>
          <w:kern w:val="0"/>
          <w:sz w:val="24"/>
          <w:highlight w:val="none"/>
        </w:rPr>
        <w:t>：</w:t>
      </w:r>
    </w:p>
    <w:p w14:paraId="15B51124">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（投标人名称）    </w:t>
      </w:r>
      <w:r>
        <w:rPr>
          <w:rFonts w:hint="eastAsia" w:ascii="宋体" w:hAnsi="宋体" w:eastAsia="宋体" w:cs="宋体"/>
          <w:color w:val="auto"/>
          <w:kern w:val="0"/>
          <w:sz w:val="24"/>
          <w:highlight w:val="none"/>
        </w:rPr>
        <w:t>授权</w:t>
      </w:r>
      <w:r>
        <w:rPr>
          <w:rFonts w:hint="eastAsia" w:ascii="宋体" w:hAnsi="宋体" w:eastAsia="宋体" w:cs="宋体"/>
          <w:color w:val="auto"/>
          <w:kern w:val="0"/>
          <w:sz w:val="24"/>
          <w:highlight w:val="none"/>
          <w:u w:val="single"/>
        </w:rPr>
        <w:t xml:space="preserve">   （投标人授权代表姓名、职务）   </w:t>
      </w:r>
      <w:r>
        <w:rPr>
          <w:rFonts w:hint="eastAsia" w:ascii="宋体" w:hAnsi="宋体" w:eastAsia="宋体" w:cs="宋体"/>
          <w:color w:val="auto"/>
          <w:kern w:val="0"/>
          <w:sz w:val="24"/>
          <w:highlight w:val="none"/>
        </w:rPr>
        <w:t>为我方代表，参加贵方组织的</w:t>
      </w:r>
      <w:r>
        <w:rPr>
          <w:rFonts w:hint="eastAsia" w:ascii="宋体" w:hAnsi="宋体" w:eastAsia="宋体" w:cs="宋体"/>
          <w:color w:val="auto"/>
          <w:kern w:val="0"/>
          <w:sz w:val="24"/>
          <w:highlight w:val="none"/>
          <w:u w:val="single"/>
        </w:rPr>
        <w:t xml:space="preserve">    项目名称    （项目编号）（包号）</w:t>
      </w:r>
      <w:r>
        <w:rPr>
          <w:rFonts w:hint="eastAsia" w:ascii="宋体" w:hAnsi="宋体" w:eastAsia="宋体" w:cs="宋体"/>
          <w:color w:val="auto"/>
          <w:kern w:val="0"/>
          <w:sz w:val="24"/>
          <w:highlight w:val="none"/>
        </w:rPr>
        <w:t>招标的有关活动，并对此项目进行报价。为此承诺：</w:t>
      </w:r>
    </w:p>
    <w:p w14:paraId="4E47018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方提交的投标文件有效期为：自提交投标文件截止之日起90个日历天。在此期限内，我方保证严格遵守投标文件中的所有承诺及评审过程中的所有澄清内容，贵方的招标文件和我方提交的投标文件对我方均具有约束力。</w:t>
      </w:r>
    </w:p>
    <w:p w14:paraId="3ABF8261">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2.我方已经具备本项目（包）中规定的参加采购活动的投标人应当具备的全部资格条件，并提供了相关证明材料。</w:t>
      </w:r>
    </w:p>
    <w:p w14:paraId="0A902D31">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3.我方已按照招标文件要求，提供了投标人须知前附表中规定的投标人应提交的资格证明文件和商务技术文件，并将所有资料按照招标文件要求在“山西省政府采购平台”完成上传。</w:t>
      </w:r>
    </w:p>
    <w:p w14:paraId="7FD611DC">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4.我方参与本项（包）招标、中标后提供和交付的货物的规格型号、生产厂家、价格等信息，详见“开标一览表”。</w:t>
      </w:r>
    </w:p>
    <w:p w14:paraId="61AF68E3">
      <w:pPr>
        <w:keepNext/>
        <w:tabs>
          <w:tab w:val="left" w:pos="1680"/>
        </w:tabs>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5.若我方被确定为本项目（包）的中标人，保证按相关法律法规规定，与采购人签订政府采购合同，并严格履行双方所签订的合同，承担合同规定的责任和义务。</w:t>
      </w:r>
    </w:p>
    <w:p w14:paraId="2E8BF6C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6.承诺对招标文件中的各项商务、技术要求均做出了响应，对符合性存在偏差的，已在投标文件中的商务响应和技术条款偏离表中予以明确，并特别说明。</w:t>
      </w:r>
    </w:p>
    <w:p w14:paraId="08135A7E">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7.保证遵守招标文件的各项规定。</w:t>
      </w:r>
    </w:p>
    <w:p w14:paraId="0410C3F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8.若我方在投标文件有效期内撤回投标文件的，我方的投标保证金可按规定被贵方没收。</w:t>
      </w:r>
    </w:p>
    <w:p w14:paraId="42341894">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9.我方完全理解贵方不接受可选择性报价。</w:t>
      </w:r>
    </w:p>
    <w:p w14:paraId="2CD62FED">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10.在评审过程中，若贵方或评标委员会需要，我方愿意向贵方提供任何与本项有关的数据、情况和技术资料。</w:t>
      </w:r>
    </w:p>
    <w:p w14:paraId="3D317451">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11.我方已详细审核全部投标文件内容，包括投标文件补充文件（如有的话）、参考资料及有关附件，确认无误。</w:t>
      </w:r>
    </w:p>
    <w:p w14:paraId="3B077693">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12.在合同执行过程中，若采购人需追加采购本项目投标文件所列的货物，在不改变合同其他实质性条款和供货质量的前提下，按相同或更优惠的价格提供。</w:t>
      </w:r>
    </w:p>
    <w:p w14:paraId="6B5CA1F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13.接受招标文件中《采购合同范本》的全部条款且无任何异议。</w:t>
      </w:r>
    </w:p>
    <w:p w14:paraId="100F8B39">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14.我方将严格遵守本项目的有关规定，若有下列情形之一的，将由采购人或采购代理机构上报上级主管部门进行处罚。</w:t>
      </w:r>
    </w:p>
    <w:p w14:paraId="6A0A137E">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（1）提供虚假材料谋取中标的；</w:t>
      </w:r>
    </w:p>
    <w:p w14:paraId="47D457C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（2）采取不正当手段诋毁、排挤其他投标人的；</w:t>
      </w:r>
    </w:p>
    <w:p w14:paraId="0B013FD1">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（3）与采购人、其它投标人或者采购代理机构工作人员恶意串通的；</w:t>
      </w:r>
    </w:p>
    <w:p w14:paraId="61B58BC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（4）向采购人、采购代理机构工作人员、评标委员会成员行贿或者提供其他不正当利益的；</w:t>
      </w:r>
    </w:p>
    <w:p w14:paraId="378CC785">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（5）投标文件提交截止时间后撤回投标文件的；</w:t>
      </w:r>
    </w:p>
    <w:p w14:paraId="5DAF1EA0">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（6）在评审期间，影响采购代理机构或评标委员会正常履行职责的；</w:t>
      </w:r>
    </w:p>
    <w:p w14:paraId="4C479336">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（7）在采购过程中与采购人、采购代理机构、评标委员会成员进行协商的；</w:t>
      </w:r>
    </w:p>
    <w:p w14:paraId="0485A07A">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（8）中标后未在规定时间内与采购人签订合同或放弃中标或未按招标文件、投标文件及相关承诺规定签约或与采购人订立背离合同实质性内容的其它协议等行为的；</w:t>
      </w:r>
    </w:p>
    <w:p w14:paraId="462D4C62">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（9）未按合同约定履行义务的；</w:t>
      </w:r>
    </w:p>
    <w:p w14:paraId="0F0B3524">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（10）拒绝有关部门监督检查或提供虚假情况的；</w:t>
      </w:r>
    </w:p>
    <w:p w14:paraId="09272FAB">
      <w:pPr>
        <w:keepNext/>
        <w:topLinePunct/>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（11）违反其他违法违犯行为。</w:t>
      </w:r>
    </w:p>
    <w:p w14:paraId="1E2247F4">
      <w:pPr>
        <w:keepNext/>
        <w:topLinePunct/>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我公司的信息如下：</w:t>
      </w:r>
    </w:p>
    <w:p w14:paraId="697610AB">
      <w:pPr>
        <w:keepNext/>
        <w:topLinePunct/>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公司地址：</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邮编：</w:t>
      </w:r>
      <w:r>
        <w:rPr>
          <w:rFonts w:hint="eastAsia" w:ascii="宋体" w:hAnsi="宋体" w:eastAsia="宋体" w:cs="宋体"/>
          <w:color w:val="auto"/>
          <w:kern w:val="0"/>
          <w:sz w:val="24"/>
          <w:highlight w:val="none"/>
        </w:rPr>
        <w:tab/>
      </w:r>
    </w:p>
    <w:p w14:paraId="4E35A7C2">
      <w:pPr>
        <w:keepNext/>
        <w:topLinePunct/>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传真：</w:t>
      </w:r>
    </w:p>
    <w:p w14:paraId="5B825658">
      <w:pPr>
        <w:keepNext/>
        <w:tabs>
          <w:tab w:val="left" w:pos="480"/>
        </w:tabs>
        <w:topLinePunct/>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投标人授权代表姓名：</w:t>
      </w:r>
    </w:p>
    <w:p w14:paraId="7993E401">
      <w:pPr>
        <w:keepNext/>
        <w:tabs>
          <w:tab w:val="left" w:pos="480"/>
        </w:tabs>
        <w:topLinePunct/>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投标人授权代表联系电话：                （办公）         （移动）</w:t>
      </w:r>
    </w:p>
    <w:p w14:paraId="5806CDFB">
      <w:pPr>
        <w:keepNext/>
        <w:tabs>
          <w:tab w:val="left" w:pos="480"/>
        </w:tabs>
        <w:topLinePunct/>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E-mail：</w:t>
      </w:r>
    </w:p>
    <w:p w14:paraId="6BD5CD30">
      <w:pPr>
        <w:keepNext/>
        <w:tabs>
          <w:tab w:val="left" w:pos="4000"/>
        </w:tabs>
        <w:topLinePunct/>
        <w:adjustRightInd w:val="0"/>
        <w:snapToGrid w:val="0"/>
        <w:spacing w:line="360" w:lineRule="auto"/>
        <w:ind w:firstLine="2640" w:firstLineChars="1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5661C459">
      <w:pPr>
        <w:keepNext/>
        <w:tabs>
          <w:tab w:val="left" w:pos="4000"/>
        </w:tabs>
        <w:topLinePunct/>
        <w:adjustRightInd w:val="0"/>
        <w:snapToGrid w:val="0"/>
        <w:spacing w:line="360" w:lineRule="auto"/>
        <w:ind w:firstLine="2640" w:firstLineChars="1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投标人授权代表：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32C231BE">
      <w:pPr>
        <w:keepNext/>
        <w:tabs>
          <w:tab w:val="left" w:pos="4000"/>
        </w:tabs>
        <w:topLinePunct/>
        <w:adjustRightInd w:val="0"/>
        <w:snapToGrid w:val="0"/>
        <w:spacing w:line="360" w:lineRule="auto"/>
        <w:ind w:firstLine="2640" w:firstLineChars="1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1996B1A5">
      <w:pPr>
        <w:keepNext/>
        <w:topLinePunct/>
        <w:snapToGrid w:val="0"/>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注：除可填报项目外，对本投标函内容的修改将被视为非实质性响应，从而导致该投标文件无效。</w:t>
      </w:r>
    </w:p>
    <w:p w14:paraId="4B7F107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CD70558">
      <w:pPr>
        <w:keepNext/>
        <w:topLinePunct/>
        <w:adjustRightInd w:val="0"/>
        <w:snapToGrid w:val="0"/>
        <w:spacing w:line="360" w:lineRule="auto"/>
        <w:outlineLvl w:val="2"/>
        <w:rPr>
          <w:rFonts w:hint="eastAsia" w:ascii="宋体" w:hAnsi="宋体" w:eastAsia="宋体" w:cs="宋体"/>
          <w:b/>
          <w:color w:val="auto"/>
          <w:kern w:val="0"/>
          <w:sz w:val="24"/>
          <w:highlight w:val="none"/>
        </w:rPr>
      </w:pPr>
      <w:bookmarkStart w:id="75" w:name="_Toc180347489"/>
      <w:r>
        <w:rPr>
          <w:rFonts w:hint="eastAsia" w:ascii="宋体" w:hAnsi="宋体" w:eastAsia="宋体" w:cs="宋体"/>
          <w:b/>
          <w:color w:val="auto"/>
          <w:kern w:val="0"/>
          <w:sz w:val="24"/>
          <w:highlight w:val="none"/>
        </w:rPr>
        <w:t>4．开标一览表</w:t>
      </w:r>
      <w:bookmarkEnd w:id="75"/>
    </w:p>
    <w:p w14:paraId="6044EB5A">
      <w:pPr>
        <w:keepNext/>
        <w:topLinePunct/>
        <w:spacing w:line="330" w:lineRule="atLeast"/>
        <w:ind w:firstLine="420"/>
        <w:jc w:val="left"/>
        <w:rPr>
          <w:rFonts w:hint="eastAsia" w:ascii="宋体" w:hAnsi="宋体" w:eastAsia="宋体" w:cs="宋体"/>
          <w:color w:val="auto"/>
          <w:kern w:val="0"/>
          <w:szCs w:val="21"/>
          <w:highlight w:val="none"/>
        </w:rPr>
      </w:pPr>
    </w:p>
    <w:p w14:paraId="499EF3F3">
      <w:pPr>
        <w:keepNext/>
        <w:topLinePunct/>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开标一览表</w:t>
      </w:r>
    </w:p>
    <w:p w14:paraId="0095FE84">
      <w:pPr>
        <w:keepNext/>
        <w:topLinePunct/>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p w14:paraId="237EA169">
      <w:pPr>
        <w:keepNext/>
        <w:topLinePunct/>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项目编号： </w:t>
      </w:r>
    </w:p>
    <w:p w14:paraId="4827095E">
      <w:pPr>
        <w:keepNext/>
        <w:topLinePunct/>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包    号：</w:t>
      </w:r>
    </w:p>
    <w:tbl>
      <w:tblPr>
        <w:tblStyle w:val="2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556"/>
        <w:gridCol w:w="4112"/>
        <w:gridCol w:w="1884"/>
      </w:tblGrid>
      <w:tr w14:paraId="2AC2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615C4E69">
            <w:pPr>
              <w:keepNext/>
              <w:topLinePunct/>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556" w:type="dxa"/>
            <w:vAlign w:val="center"/>
          </w:tcPr>
          <w:p w14:paraId="4555265A">
            <w:pPr>
              <w:keepNext/>
              <w:topLinePunct/>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总报价</w:t>
            </w:r>
          </w:p>
        </w:tc>
        <w:tc>
          <w:tcPr>
            <w:tcW w:w="4112" w:type="dxa"/>
            <w:vAlign w:val="center"/>
          </w:tcPr>
          <w:p w14:paraId="76E6D110">
            <w:pPr>
              <w:keepNext/>
              <w:topLinePunct/>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合同履约期限</w:t>
            </w:r>
          </w:p>
        </w:tc>
        <w:tc>
          <w:tcPr>
            <w:tcW w:w="1884" w:type="dxa"/>
            <w:vAlign w:val="center"/>
          </w:tcPr>
          <w:p w14:paraId="34D56DDC">
            <w:pPr>
              <w:keepNext/>
              <w:topLinePunct/>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A88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19FBC435">
            <w:pPr>
              <w:keepNext/>
              <w:topLinePunct/>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556" w:type="dxa"/>
            <w:vAlign w:val="center"/>
          </w:tcPr>
          <w:p w14:paraId="2D5A23C6">
            <w:pPr>
              <w:keepNext/>
              <w:topLinePunct/>
              <w:adjustRightInd w:val="0"/>
              <w:snapToGrid w:val="0"/>
              <w:jc w:val="center"/>
              <w:rPr>
                <w:rFonts w:hint="eastAsia" w:ascii="宋体" w:hAnsi="宋体" w:eastAsia="宋体" w:cs="宋体"/>
                <w:color w:val="auto"/>
                <w:kern w:val="0"/>
                <w:szCs w:val="21"/>
                <w:highlight w:val="none"/>
              </w:rPr>
            </w:pPr>
          </w:p>
        </w:tc>
        <w:tc>
          <w:tcPr>
            <w:tcW w:w="4112" w:type="dxa"/>
            <w:vAlign w:val="center"/>
          </w:tcPr>
          <w:p w14:paraId="1487BC12">
            <w:pPr>
              <w:keepNext/>
              <w:topLinePunct/>
              <w:adjustRightInd w:val="0"/>
              <w:snapToGrid w:val="0"/>
              <w:jc w:val="center"/>
              <w:rPr>
                <w:rFonts w:hint="eastAsia" w:ascii="宋体" w:hAnsi="宋体" w:eastAsia="宋体" w:cs="宋体"/>
                <w:color w:val="auto"/>
                <w:kern w:val="0"/>
                <w:szCs w:val="21"/>
                <w:highlight w:val="none"/>
              </w:rPr>
            </w:pPr>
          </w:p>
        </w:tc>
        <w:tc>
          <w:tcPr>
            <w:tcW w:w="1884" w:type="dxa"/>
            <w:vAlign w:val="center"/>
          </w:tcPr>
          <w:p w14:paraId="16EC4180">
            <w:pPr>
              <w:keepNext/>
              <w:topLinePunct/>
              <w:adjustRightInd w:val="0"/>
              <w:snapToGrid w:val="0"/>
              <w:jc w:val="center"/>
              <w:rPr>
                <w:rFonts w:hint="eastAsia" w:ascii="宋体" w:hAnsi="宋体" w:eastAsia="宋体" w:cs="宋体"/>
                <w:color w:val="auto"/>
                <w:kern w:val="0"/>
                <w:szCs w:val="21"/>
                <w:highlight w:val="none"/>
              </w:rPr>
            </w:pPr>
          </w:p>
        </w:tc>
      </w:tr>
      <w:tr w14:paraId="72B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2A58397C">
            <w:pPr>
              <w:keepNext/>
              <w:topLinePunct/>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552" w:type="dxa"/>
            <w:gridSpan w:val="3"/>
            <w:vAlign w:val="center"/>
          </w:tcPr>
          <w:p w14:paraId="5ED6929B">
            <w:pPr>
              <w:keepNext/>
              <w:topLinePunct/>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                              小写：¥</w:t>
            </w:r>
          </w:p>
        </w:tc>
      </w:tr>
    </w:tbl>
    <w:p w14:paraId="00A39B30">
      <w:pPr>
        <w:keepNext/>
        <w:topLinePunct/>
        <w:snapToGrid w:val="0"/>
        <w:spacing w:line="360" w:lineRule="auto"/>
        <w:ind w:firstLine="562"/>
        <w:jc w:val="center"/>
        <w:rPr>
          <w:rFonts w:hint="eastAsia" w:ascii="宋体" w:hAnsi="宋体" w:eastAsia="宋体" w:cs="宋体"/>
          <w:b/>
          <w:color w:val="auto"/>
          <w:kern w:val="0"/>
          <w:sz w:val="28"/>
          <w:szCs w:val="28"/>
          <w:highlight w:val="none"/>
        </w:rPr>
      </w:pPr>
    </w:p>
    <w:p w14:paraId="0BD96A08">
      <w:pPr>
        <w:keepNext/>
        <w:topLinePunct/>
        <w:adjustRightInd w:val="0"/>
        <w:snapToGrid w:val="0"/>
        <w:spacing w:line="360" w:lineRule="auto"/>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分项报价表</w:t>
      </w:r>
    </w:p>
    <w:tbl>
      <w:tblPr>
        <w:tblStyle w:val="20"/>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891"/>
        <w:gridCol w:w="706"/>
        <w:gridCol w:w="687"/>
        <w:gridCol w:w="1214"/>
        <w:gridCol w:w="693"/>
        <w:gridCol w:w="565"/>
        <w:gridCol w:w="694"/>
        <w:gridCol w:w="1483"/>
        <w:gridCol w:w="920"/>
        <w:gridCol w:w="507"/>
      </w:tblGrid>
      <w:tr w14:paraId="3746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64" w:type="dxa"/>
            <w:vAlign w:val="center"/>
          </w:tcPr>
          <w:p w14:paraId="654ABF74">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1891" w:type="dxa"/>
            <w:vAlign w:val="center"/>
          </w:tcPr>
          <w:p w14:paraId="04565DB3">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标的</w:t>
            </w:r>
            <w:r>
              <w:rPr>
                <w:rFonts w:hint="eastAsia" w:ascii="宋体" w:hAnsi="宋体" w:eastAsia="宋体" w:cs="宋体"/>
                <w:snapToGrid w:val="0"/>
                <w:color w:val="auto"/>
                <w:kern w:val="0"/>
                <w:szCs w:val="21"/>
                <w:highlight w:val="none"/>
              </w:rPr>
              <w:t>名称</w:t>
            </w:r>
          </w:p>
        </w:tc>
        <w:tc>
          <w:tcPr>
            <w:tcW w:w="706" w:type="dxa"/>
            <w:vAlign w:val="center"/>
          </w:tcPr>
          <w:p w14:paraId="375C2317">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品牌</w:t>
            </w:r>
          </w:p>
        </w:tc>
        <w:tc>
          <w:tcPr>
            <w:tcW w:w="687" w:type="dxa"/>
            <w:vAlign w:val="center"/>
          </w:tcPr>
          <w:p w14:paraId="4F332146">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规格型号</w:t>
            </w:r>
          </w:p>
        </w:tc>
        <w:tc>
          <w:tcPr>
            <w:tcW w:w="1214" w:type="dxa"/>
            <w:vAlign w:val="center"/>
          </w:tcPr>
          <w:p w14:paraId="49F8F4CC">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生产厂家（制造商）全称</w:t>
            </w:r>
          </w:p>
        </w:tc>
        <w:tc>
          <w:tcPr>
            <w:tcW w:w="693" w:type="dxa"/>
            <w:vAlign w:val="center"/>
          </w:tcPr>
          <w:p w14:paraId="0260A652">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单价（元）</w:t>
            </w:r>
          </w:p>
        </w:tc>
        <w:tc>
          <w:tcPr>
            <w:tcW w:w="565" w:type="dxa"/>
            <w:vAlign w:val="center"/>
          </w:tcPr>
          <w:p w14:paraId="47AAF1EB">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数量</w:t>
            </w:r>
          </w:p>
        </w:tc>
        <w:tc>
          <w:tcPr>
            <w:tcW w:w="694" w:type="dxa"/>
            <w:vAlign w:val="center"/>
          </w:tcPr>
          <w:p w14:paraId="2EB16D8F">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合价</w:t>
            </w:r>
            <w:r>
              <w:rPr>
                <w:rFonts w:hint="eastAsia" w:ascii="宋体" w:hAnsi="宋体" w:cs="宋体"/>
                <w:snapToGrid w:val="0"/>
                <w:color w:val="auto"/>
                <w:kern w:val="0"/>
                <w:szCs w:val="21"/>
                <w:highlight w:val="none"/>
                <w:lang w:val="en-US" w:eastAsia="zh-CN"/>
              </w:rPr>
              <w:t>(元)</w:t>
            </w:r>
          </w:p>
        </w:tc>
        <w:tc>
          <w:tcPr>
            <w:tcW w:w="1483" w:type="dxa"/>
            <w:vAlign w:val="center"/>
          </w:tcPr>
          <w:p w14:paraId="43A7C6E7">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生产厂家（制造商）企业类型</w:t>
            </w:r>
          </w:p>
        </w:tc>
        <w:tc>
          <w:tcPr>
            <w:tcW w:w="920" w:type="dxa"/>
            <w:vAlign w:val="center"/>
          </w:tcPr>
          <w:p w14:paraId="5291788D">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质保期</w:t>
            </w:r>
          </w:p>
        </w:tc>
        <w:tc>
          <w:tcPr>
            <w:tcW w:w="507" w:type="dxa"/>
            <w:vAlign w:val="center"/>
          </w:tcPr>
          <w:p w14:paraId="27FECEC8">
            <w:pPr>
              <w:keepNext/>
              <w:keepLines w:val="0"/>
              <w:pageBreakBefore w:val="0"/>
              <w:widowControl w:val="0"/>
              <w:kinsoku/>
              <w:wordWrap/>
              <w:overflowPunct/>
              <w:topLinePunct/>
              <w:autoSpaceDE/>
              <w:autoSpaceDN/>
              <w:bidi w:val="0"/>
              <w:adjustRightInd w:val="0"/>
              <w:snapToGrid w:val="0"/>
              <w:ind w:left="-105" w:leftChars="-50" w:right="-105" w:rightChars="-50"/>
              <w:jc w:val="center"/>
              <w:textAlignment w:val="auto"/>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备注</w:t>
            </w:r>
          </w:p>
        </w:tc>
      </w:tr>
      <w:tr w14:paraId="5652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4" w:type="dxa"/>
            <w:vAlign w:val="center"/>
          </w:tcPr>
          <w:p w14:paraId="7367093E">
            <w:pPr>
              <w:keepNext/>
              <w:topLinePunct/>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1</w:t>
            </w:r>
          </w:p>
        </w:tc>
        <w:tc>
          <w:tcPr>
            <w:tcW w:w="1891" w:type="dxa"/>
            <w:vAlign w:val="center"/>
          </w:tcPr>
          <w:p w14:paraId="3113B3EC">
            <w:pPr>
              <w:keepNext/>
              <w:topLinePunct/>
              <w:adjustRightInd w:val="0"/>
              <w:snapToGrid w:val="0"/>
              <w:jc w:val="center"/>
              <w:rPr>
                <w:rFonts w:hint="eastAsia" w:ascii="宋体" w:hAnsi="宋体" w:eastAsia="宋体" w:cs="宋体"/>
                <w:color w:val="auto"/>
                <w:kern w:val="0"/>
                <w:szCs w:val="21"/>
                <w:highlight w:val="none"/>
              </w:rPr>
            </w:pPr>
          </w:p>
        </w:tc>
        <w:tc>
          <w:tcPr>
            <w:tcW w:w="706" w:type="dxa"/>
          </w:tcPr>
          <w:p w14:paraId="47D1F8D9">
            <w:pPr>
              <w:keepNext/>
              <w:topLinePunct/>
              <w:adjustRightInd w:val="0"/>
              <w:snapToGrid w:val="0"/>
              <w:jc w:val="center"/>
              <w:rPr>
                <w:rFonts w:hint="eastAsia" w:ascii="宋体" w:hAnsi="宋体" w:eastAsia="宋体" w:cs="宋体"/>
                <w:color w:val="auto"/>
                <w:kern w:val="0"/>
                <w:szCs w:val="21"/>
                <w:highlight w:val="none"/>
              </w:rPr>
            </w:pPr>
          </w:p>
        </w:tc>
        <w:tc>
          <w:tcPr>
            <w:tcW w:w="687" w:type="dxa"/>
          </w:tcPr>
          <w:p w14:paraId="2E865554">
            <w:pPr>
              <w:keepNext/>
              <w:topLinePunct/>
              <w:adjustRightInd w:val="0"/>
              <w:snapToGrid w:val="0"/>
              <w:jc w:val="center"/>
              <w:rPr>
                <w:rFonts w:hint="eastAsia" w:ascii="宋体" w:hAnsi="宋体" w:eastAsia="宋体" w:cs="宋体"/>
                <w:color w:val="auto"/>
                <w:kern w:val="0"/>
                <w:szCs w:val="21"/>
                <w:highlight w:val="none"/>
              </w:rPr>
            </w:pPr>
          </w:p>
        </w:tc>
        <w:tc>
          <w:tcPr>
            <w:tcW w:w="1214" w:type="dxa"/>
          </w:tcPr>
          <w:p w14:paraId="7D3D9035">
            <w:pPr>
              <w:keepNext/>
              <w:topLinePunct/>
              <w:adjustRightInd w:val="0"/>
              <w:snapToGrid w:val="0"/>
              <w:jc w:val="center"/>
              <w:rPr>
                <w:rFonts w:hint="eastAsia" w:ascii="宋体" w:hAnsi="宋体" w:eastAsia="宋体" w:cs="宋体"/>
                <w:color w:val="auto"/>
                <w:kern w:val="0"/>
                <w:szCs w:val="21"/>
                <w:highlight w:val="none"/>
              </w:rPr>
            </w:pPr>
          </w:p>
        </w:tc>
        <w:tc>
          <w:tcPr>
            <w:tcW w:w="693" w:type="dxa"/>
          </w:tcPr>
          <w:p w14:paraId="28B48C4C">
            <w:pPr>
              <w:keepNext/>
              <w:topLinePunct/>
              <w:adjustRightInd w:val="0"/>
              <w:snapToGrid w:val="0"/>
              <w:jc w:val="center"/>
              <w:rPr>
                <w:rFonts w:hint="eastAsia" w:ascii="宋体" w:hAnsi="宋体" w:eastAsia="宋体" w:cs="宋体"/>
                <w:color w:val="auto"/>
                <w:kern w:val="0"/>
                <w:szCs w:val="21"/>
                <w:highlight w:val="none"/>
              </w:rPr>
            </w:pPr>
          </w:p>
        </w:tc>
        <w:tc>
          <w:tcPr>
            <w:tcW w:w="565" w:type="dxa"/>
          </w:tcPr>
          <w:p w14:paraId="3F412643">
            <w:pPr>
              <w:keepNext/>
              <w:topLinePunct/>
              <w:adjustRightInd w:val="0"/>
              <w:snapToGrid w:val="0"/>
              <w:jc w:val="center"/>
              <w:rPr>
                <w:rFonts w:hint="eastAsia" w:ascii="宋体" w:hAnsi="宋体" w:eastAsia="宋体" w:cs="宋体"/>
                <w:color w:val="auto"/>
                <w:kern w:val="0"/>
                <w:szCs w:val="21"/>
                <w:highlight w:val="none"/>
              </w:rPr>
            </w:pPr>
          </w:p>
        </w:tc>
        <w:tc>
          <w:tcPr>
            <w:tcW w:w="694" w:type="dxa"/>
          </w:tcPr>
          <w:p w14:paraId="6E1B6262">
            <w:pPr>
              <w:keepNext/>
              <w:topLinePunct/>
              <w:adjustRightInd w:val="0"/>
              <w:snapToGrid w:val="0"/>
              <w:jc w:val="center"/>
              <w:rPr>
                <w:rFonts w:hint="eastAsia" w:ascii="宋体" w:hAnsi="宋体" w:eastAsia="宋体" w:cs="宋体"/>
                <w:color w:val="auto"/>
                <w:kern w:val="0"/>
                <w:szCs w:val="21"/>
                <w:highlight w:val="none"/>
              </w:rPr>
            </w:pPr>
          </w:p>
        </w:tc>
        <w:tc>
          <w:tcPr>
            <w:tcW w:w="1483" w:type="dxa"/>
          </w:tcPr>
          <w:p w14:paraId="3D105933">
            <w:pPr>
              <w:keepNext/>
              <w:topLinePunct/>
              <w:adjustRightInd w:val="0"/>
              <w:snapToGrid w:val="0"/>
              <w:jc w:val="center"/>
              <w:rPr>
                <w:rFonts w:hint="eastAsia" w:ascii="宋体" w:hAnsi="宋体" w:eastAsia="宋体" w:cs="宋体"/>
                <w:color w:val="auto"/>
                <w:kern w:val="0"/>
                <w:szCs w:val="21"/>
                <w:highlight w:val="none"/>
              </w:rPr>
            </w:pPr>
          </w:p>
        </w:tc>
        <w:tc>
          <w:tcPr>
            <w:tcW w:w="920" w:type="dxa"/>
          </w:tcPr>
          <w:p w14:paraId="24EE2FC4">
            <w:pPr>
              <w:keepNext/>
              <w:topLinePunct/>
              <w:adjustRightInd w:val="0"/>
              <w:snapToGrid w:val="0"/>
              <w:jc w:val="center"/>
              <w:rPr>
                <w:rFonts w:hint="eastAsia" w:ascii="宋体" w:hAnsi="宋体" w:eastAsia="宋体" w:cs="宋体"/>
                <w:color w:val="auto"/>
                <w:kern w:val="0"/>
                <w:szCs w:val="21"/>
                <w:highlight w:val="none"/>
              </w:rPr>
            </w:pPr>
          </w:p>
        </w:tc>
        <w:tc>
          <w:tcPr>
            <w:tcW w:w="507" w:type="dxa"/>
          </w:tcPr>
          <w:p w14:paraId="1A817EAA">
            <w:pPr>
              <w:keepNext/>
              <w:topLinePunct/>
              <w:adjustRightInd w:val="0"/>
              <w:snapToGrid w:val="0"/>
              <w:jc w:val="center"/>
              <w:rPr>
                <w:rFonts w:hint="eastAsia" w:ascii="宋体" w:hAnsi="宋体" w:eastAsia="宋体" w:cs="宋体"/>
                <w:color w:val="auto"/>
                <w:kern w:val="0"/>
                <w:szCs w:val="21"/>
                <w:highlight w:val="none"/>
              </w:rPr>
            </w:pPr>
          </w:p>
        </w:tc>
      </w:tr>
      <w:tr w14:paraId="0B30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4" w:type="dxa"/>
            <w:vAlign w:val="center"/>
          </w:tcPr>
          <w:p w14:paraId="58CA1CB8">
            <w:pPr>
              <w:keepNext/>
              <w:topLinePunct/>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891" w:type="dxa"/>
            <w:vAlign w:val="center"/>
          </w:tcPr>
          <w:p w14:paraId="2B08A8CA">
            <w:pPr>
              <w:keepNext/>
              <w:topLinePunct/>
              <w:adjustRightInd w:val="0"/>
              <w:snapToGrid w:val="0"/>
              <w:jc w:val="center"/>
              <w:rPr>
                <w:rFonts w:hint="eastAsia" w:ascii="宋体" w:hAnsi="宋体" w:eastAsia="宋体" w:cs="宋体"/>
                <w:color w:val="auto"/>
                <w:kern w:val="0"/>
                <w:szCs w:val="21"/>
                <w:highlight w:val="none"/>
              </w:rPr>
            </w:pPr>
          </w:p>
        </w:tc>
        <w:tc>
          <w:tcPr>
            <w:tcW w:w="706" w:type="dxa"/>
          </w:tcPr>
          <w:p w14:paraId="512D7C1A">
            <w:pPr>
              <w:keepNext/>
              <w:topLinePunct/>
              <w:adjustRightInd w:val="0"/>
              <w:snapToGrid w:val="0"/>
              <w:jc w:val="center"/>
              <w:rPr>
                <w:rFonts w:hint="eastAsia" w:ascii="宋体" w:hAnsi="宋体" w:eastAsia="宋体" w:cs="宋体"/>
                <w:color w:val="auto"/>
                <w:kern w:val="0"/>
                <w:szCs w:val="21"/>
                <w:highlight w:val="none"/>
              </w:rPr>
            </w:pPr>
          </w:p>
        </w:tc>
        <w:tc>
          <w:tcPr>
            <w:tcW w:w="687" w:type="dxa"/>
          </w:tcPr>
          <w:p w14:paraId="6D875962">
            <w:pPr>
              <w:keepNext/>
              <w:topLinePunct/>
              <w:adjustRightInd w:val="0"/>
              <w:snapToGrid w:val="0"/>
              <w:jc w:val="center"/>
              <w:rPr>
                <w:rFonts w:hint="eastAsia" w:ascii="宋体" w:hAnsi="宋体" w:eastAsia="宋体" w:cs="宋体"/>
                <w:color w:val="auto"/>
                <w:kern w:val="0"/>
                <w:szCs w:val="21"/>
                <w:highlight w:val="none"/>
              </w:rPr>
            </w:pPr>
          </w:p>
        </w:tc>
        <w:tc>
          <w:tcPr>
            <w:tcW w:w="1214" w:type="dxa"/>
          </w:tcPr>
          <w:p w14:paraId="6E6D3FCB">
            <w:pPr>
              <w:keepNext/>
              <w:topLinePunct/>
              <w:adjustRightInd w:val="0"/>
              <w:snapToGrid w:val="0"/>
              <w:jc w:val="center"/>
              <w:rPr>
                <w:rFonts w:hint="eastAsia" w:ascii="宋体" w:hAnsi="宋体" w:eastAsia="宋体" w:cs="宋体"/>
                <w:color w:val="auto"/>
                <w:kern w:val="0"/>
                <w:szCs w:val="21"/>
                <w:highlight w:val="none"/>
              </w:rPr>
            </w:pPr>
          </w:p>
        </w:tc>
        <w:tc>
          <w:tcPr>
            <w:tcW w:w="693" w:type="dxa"/>
          </w:tcPr>
          <w:p w14:paraId="019CA8AE">
            <w:pPr>
              <w:keepNext/>
              <w:topLinePunct/>
              <w:adjustRightInd w:val="0"/>
              <w:snapToGrid w:val="0"/>
              <w:jc w:val="center"/>
              <w:rPr>
                <w:rFonts w:hint="eastAsia" w:ascii="宋体" w:hAnsi="宋体" w:eastAsia="宋体" w:cs="宋体"/>
                <w:color w:val="auto"/>
                <w:kern w:val="0"/>
                <w:szCs w:val="21"/>
                <w:highlight w:val="none"/>
              </w:rPr>
            </w:pPr>
          </w:p>
        </w:tc>
        <w:tc>
          <w:tcPr>
            <w:tcW w:w="565" w:type="dxa"/>
          </w:tcPr>
          <w:p w14:paraId="4272AA20">
            <w:pPr>
              <w:keepNext/>
              <w:topLinePunct/>
              <w:adjustRightInd w:val="0"/>
              <w:snapToGrid w:val="0"/>
              <w:jc w:val="center"/>
              <w:rPr>
                <w:rFonts w:hint="eastAsia" w:ascii="宋体" w:hAnsi="宋体" w:eastAsia="宋体" w:cs="宋体"/>
                <w:color w:val="auto"/>
                <w:kern w:val="0"/>
                <w:szCs w:val="21"/>
                <w:highlight w:val="none"/>
              </w:rPr>
            </w:pPr>
          </w:p>
        </w:tc>
        <w:tc>
          <w:tcPr>
            <w:tcW w:w="694" w:type="dxa"/>
          </w:tcPr>
          <w:p w14:paraId="3865CBB4">
            <w:pPr>
              <w:keepNext/>
              <w:topLinePunct/>
              <w:adjustRightInd w:val="0"/>
              <w:snapToGrid w:val="0"/>
              <w:jc w:val="center"/>
              <w:rPr>
                <w:rFonts w:hint="eastAsia" w:ascii="宋体" w:hAnsi="宋体" w:eastAsia="宋体" w:cs="宋体"/>
                <w:color w:val="auto"/>
                <w:kern w:val="0"/>
                <w:szCs w:val="21"/>
                <w:highlight w:val="none"/>
              </w:rPr>
            </w:pPr>
          </w:p>
        </w:tc>
        <w:tc>
          <w:tcPr>
            <w:tcW w:w="1483" w:type="dxa"/>
          </w:tcPr>
          <w:p w14:paraId="23E0510F">
            <w:pPr>
              <w:keepNext/>
              <w:topLinePunct/>
              <w:adjustRightInd w:val="0"/>
              <w:snapToGrid w:val="0"/>
              <w:jc w:val="center"/>
              <w:rPr>
                <w:rFonts w:hint="eastAsia" w:ascii="宋体" w:hAnsi="宋体" w:eastAsia="宋体" w:cs="宋体"/>
                <w:color w:val="auto"/>
                <w:kern w:val="0"/>
                <w:szCs w:val="21"/>
                <w:highlight w:val="none"/>
              </w:rPr>
            </w:pPr>
          </w:p>
        </w:tc>
        <w:tc>
          <w:tcPr>
            <w:tcW w:w="920" w:type="dxa"/>
          </w:tcPr>
          <w:p w14:paraId="159BC6EE">
            <w:pPr>
              <w:keepNext/>
              <w:topLinePunct/>
              <w:adjustRightInd w:val="0"/>
              <w:snapToGrid w:val="0"/>
              <w:jc w:val="center"/>
              <w:rPr>
                <w:rFonts w:hint="eastAsia" w:ascii="宋体" w:hAnsi="宋体" w:eastAsia="宋体" w:cs="宋体"/>
                <w:color w:val="auto"/>
                <w:kern w:val="0"/>
                <w:szCs w:val="21"/>
                <w:highlight w:val="none"/>
              </w:rPr>
            </w:pPr>
          </w:p>
        </w:tc>
        <w:tc>
          <w:tcPr>
            <w:tcW w:w="507" w:type="dxa"/>
          </w:tcPr>
          <w:p w14:paraId="5EA17E49">
            <w:pPr>
              <w:keepNext/>
              <w:topLinePunct/>
              <w:adjustRightInd w:val="0"/>
              <w:snapToGrid w:val="0"/>
              <w:jc w:val="center"/>
              <w:rPr>
                <w:rFonts w:hint="eastAsia" w:ascii="宋体" w:hAnsi="宋体" w:eastAsia="宋体" w:cs="宋体"/>
                <w:color w:val="auto"/>
                <w:kern w:val="0"/>
                <w:szCs w:val="21"/>
                <w:highlight w:val="none"/>
              </w:rPr>
            </w:pPr>
          </w:p>
        </w:tc>
      </w:tr>
      <w:tr w14:paraId="41DF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4" w:type="dxa"/>
            <w:vAlign w:val="center"/>
          </w:tcPr>
          <w:p w14:paraId="69736890">
            <w:pPr>
              <w:keepNext/>
              <w:topLinePunct/>
              <w:adjustRightInd w:val="0"/>
              <w:snapToGrid w:val="0"/>
              <w:jc w:val="center"/>
              <w:rPr>
                <w:rFonts w:hint="default" w:ascii="宋体" w:hAnsi="宋体" w:eastAsia="宋体" w:cs="宋体"/>
                <w:color w:val="auto"/>
                <w:kern w:val="0"/>
                <w:szCs w:val="21"/>
                <w:highlight w:val="none"/>
                <w:lang w:val="en-US"/>
              </w:rPr>
            </w:pPr>
            <w:r>
              <w:rPr>
                <w:rFonts w:hint="eastAsia" w:ascii="宋体" w:hAnsi="宋体" w:cs="宋体"/>
                <w:color w:val="auto"/>
                <w:kern w:val="0"/>
                <w:szCs w:val="21"/>
                <w:highlight w:val="none"/>
                <w:lang w:val="en-US" w:eastAsia="zh-CN"/>
              </w:rPr>
              <w:t>...</w:t>
            </w:r>
          </w:p>
        </w:tc>
        <w:tc>
          <w:tcPr>
            <w:tcW w:w="1891" w:type="dxa"/>
            <w:vAlign w:val="center"/>
          </w:tcPr>
          <w:p w14:paraId="3BDA88E8">
            <w:pPr>
              <w:keepNext/>
              <w:topLinePunct/>
              <w:adjustRightInd w:val="0"/>
              <w:snapToGrid w:val="0"/>
              <w:jc w:val="center"/>
              <w:rPr>
                <w:rFonts w:hint="eastAsia" w:ascii="宋体" w:hAnsi="宋体" w:eastAsia="宋体" w:cs="宋体"/>
                <w:color w:val="auto"/>
                <w:kern w:val="0"/>
                <w:szCs w:val="21"/>
                <w:highlight w:val="none"/>
              </w:rPr>
            </w:pPr>
          </w:p>
        </w:tc>
        <w:tc>
          <w:tcPr>
            <w:tcW w:w="706" w:type="dxa"/>
          </w:tcPr>
          <w:p w14:paraId="76D32B59">
            <w:pPr>
              <w:keepNext/>
              <w:topLinePunct/>
              <w:adjustRightInd w:val="0"/>
              <w:snapToGrid w:val="0"/>
              <w:jc w:val="center"/>
              <w:rPr>
                <w:rFonts w:hint="eastAsia" w:ascii="宋体" w:hAnsi="宋体" w:eastAsia="宋体" w:cs="宋体"/>
                <w:color w:val="auto"/>
                <w:kern w:val="0"/>
                <w:szCs w:val="21"/>
                <w:highlight w:val="none"/>
              </w:rPr>
            </w:pPr>
          </w:p>
        </w:tc>
        <w:tc>
          <w:tcPr>
            <w:tcW w:w="687" w:type="dxa"/>
          </w:tcPr>
          <w:p w14:paraId="639BB2C4">
            <w:pPr>
              <w:keepNext/>
              <w:topLinePunct/>
              <w:adjustRightInd w:val="0"/>
              <w:snapToGrid w:val="0"/>
              <w:jc w:val="center"/>
              <w:rPr>
                <w:rFonts w:hint="eastAsia" w:ascii="宋体" w:hAnsi="宋体" w:eastAsia="宋体" w:cs="宋体"/>
                <w:color w:val="auto"/>
                <w:kern w:val="0"/>
                <w:szCs w:val="21"/>
                <w:highlight w:val="none"/>
              </w:rPr>
            </w:pPr>
          </w:p>
        </w:tc>
        <w:tc>
          <w:tcPr>
            <w:tcW w:w="1214" w:type="dxa"/>
          </w:tcPr>
          <w:p w14:paraId="207D0F58">
            <w:pPr>
              <w:keepNext/>
              <w:topLinePunct/>
              <w:adjustRightInd w:val="0"/>
              <w:snapToGrid w:val="0"/>
              <w:jc w:val="center"/>
              <w:rPr>
                <w:rFonts w:hint="eastAsia" w:ascii="宋体" w:hAnsi="宋体" w:eastAsia="宋体" w:cs="宋体"/>
                <w:color w:val="auto"/>
                <w:kern w:val="0"/>
                <w:szCs w:val="21"/>
                <w:highlight w:val="none"/>
              </w:rPr>
            </w:pPr>
          </w:p>
        </w:tc>
        <w:tc>
          <w:tcPr>
            <w:tcW w:w="693" w:type="dxa"/>
          </w:tcPr>
          <w:p w14:paraId="13E2E08D">
            <w:pPr>
              <w:keepNext/>
              <w:topLinePunct/>
              <w:adjustRightInd w:val="0"/>
              <w:snapToGrid w:val="0"/>
              <w:jc w:val="center"/>
              <w:rPr>
                <w:rFonts w:hint="eastAsia" w:ascii="宋体" w:hAnsi="宋体" w:eastAsia="宋体" w:cs="宋体"/>
                <w:color w:val="auto"/>
                <w:kern w:val="0"/>
                <w:szCs w:val="21"/>
                <w:highlight w:val="none"/>
              </w:rPr>
            </w:pPr>
          </w:p>
        </w:tc>
        <w:tc>
          <w:tcPr>
            <w:tcW w:w="565" w:type="dxa"/>
          </w:tcPr>
          <w:p w14:paraId="3A0F2C5A">
            <w:pPr>
              <w:keepNext/>
              <w:topLinePunct/>
              <w:adjustRightInd w:val="0"/>
              <w:snapToGrid w:val="0"/>
              <w:jc w:val="center"/>
              <w:rPr>
                <w:rFonts w:hint="eastAsia" w:ascii="宋体" w:hAnsi="宋体" w:eastAsia="宋体" w:cs="宋体"/>
                <w:color w:val="auto"/>
                <w:kern w:val="0"/>
                <w:szCs w:val="21"/>
                <w:highlight w:val="none"/>
              </w:rPr>
            </w:pPr>
          </w:p>
        </w:tc>
        <w:tc>
          <w:tcPr>
            <w:tcW w:w="694" w:type="dxa"/>
          </w:tcPr>
          <w:p w14:paraId="420EDC77">
            <w:pPr>
              <w:keepNext/>
              <w:topLinePunct/>
              <w:adjustRightInd w:val="0"/>
              <w:snapToGrid w:val="0"/>
              <w:jc w:val="center"/>
              <w:rPr>
                <w:rFonts w:hint="eastAsia" w:ascii="宋体" w:hAnsi="宋体" w:eastAsia="宋体" w:cs="宋体"/>
                <w:color w:val="auto"/>
                <w:kern w:val="0"/>
                <w:szCs w:val="21"/>
                <w:highlight w:val="none"/>
              </w:rPr>
            </w:pPr>
          </w:p>
        </w:tc>
        <w:tc>
          <w:tcPr>
            <w:tcW w:w="1483" w:type="dxa"/>
          </w:tcPr>
          <w:p w14:paraId="7B01CE78">
            <w:pPr>
              <w:keepNext/>
              <w:topLinePunct/>
              <w:adjustRightInd w:val="0"/>
              <w:snapToGrid w:val="0"/>
              <w:jc w:val="center"/>
              <w:rPr>
                <w:rFonts w:hint="eastAsia" w:ascii="宋体" w:hAnsi="宋体" w:eastAsia="宋体" w:cs="宋体"/>
                <w:color w:val="auto"/>
                <w:kern w:val="0"/>
                <w:szCs w:val="21"/>
                <w:highlight w:val="none"/>
              </w:rPr>
            </w:pPr>
          </w:p>
        </w:tc>
        <w:tc>
          <w:tcPr>
            <w:tcW w:w="920" w:type="dxa"/>
          </w:tcPr>
          <w:p w14:paraId="369BF6BB">
            <w:pPr>
              <w:keepNext/>
              <w:topLinePunct/>
              <w:adjustRightInd w:val="0"/>
              <w:snapToGrid w:val="0"/>
              <w:jc w:val="center"/>
              <w:rPr>
                <w:rFonts w:hint="eastAsia" w:ascii="宋体" w:hAnsi="宋体" w:eastAsia="宋体" w:cs="宋体"/>
                <w:color w:val="auto"/>
                <w:kern w:val="0"/>
                <w:szCs w:val="21"/>
                <w:highlight w:val="none"/>
              </w:rPr>
            </w:pPr>
          </w:p>
        </w:tc>
        <w:tc>
          <w:tcPr>
            <w:tcW w:w="507" w:type="dxa"/>
          </w:tcPr>
          <w:p w14:paraId="3D73524A">
            <w:pPr>
              <w:keepNext/>
              <w:topLinePunct/>
              <w:adjustRightInd w:val="0"/>
              <w:snapToGrid w:val="0"/>
              <w:jc w:val="center"/>
              <w:rPr>
                <w:rFonts w:hint="eastAsia" w:ascii="宋体" w:hAnsi="宋体" w:eastAsia="宋体" w:cs="宋体"/>
                <w:color w:val="auto"/>
                <w:kern w:val="0"/>
                <w:szCs w:val="21"/>
                <w:highlight w:val="none"/>
              </w:rPr>
            </w:pPr>
          </w:p>
        </w:tc>
      </w:tr>
      <w:tr w14:paraId="1E74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64" w:type="dxa"/>
          </w:tcPr>
          <w:p w14:paraId="1E54C3AA">
            <w:pPr>
              <w:keepNext/>
              <w:topLinePunct/>
              <w:adjustRightInd w:val="0"/>
              <w:snapToGrid w:val="0"/>
              <w:spacing w:line="330" w:lineRule="atLeast"/>
              <w:jc w:val="left"/>
              <w:rPr>
                <w:rFonts w:hint="eastAsia" w:ascii="宋体" w:hAnsi="宋体" w:eastAsia="宋体" w:cs="宋体"/>
                <w:color w:val="auto"/>
                <w:kern w:val="0"/>
                <w:szCs w:val="21"/>
                <w:highlight w:val="none"/>
              </w:rPr>
            </w:pPr>
          </w:p>
        </w:tc>
        <w:tc>
          <w:tcPr>
            <w:tcW w:w="8853" w:type="dxa"/>
            <w:gridSpan w:val="9"/>
          </w:tcPr>
          <w:p w14:paraId="58F41D60">
            <w:pPr>
              <w:keepNext/>
              <w:topLinePunct/>
              <w:adjustRightInd w:val="0"/>
              <w:snapToGrid w:val="0"/>
              <w:spacing w:line="33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                                  小写：¥</w:t>
            </w:r>
          </w:p>
        </w:tc>
        <w:tc>
          <w:tcPr>
            <w:tcW w:w="507" w:type="dxa"/>
          </w:tcPr>
          <w:p w14:paraId="4DB45B19">
            <w:pPr>
              <w:keepNext/>
              <w:topLinePunct/>
              <w:adjustRightInd w:val="0"/>
              <w:snapToGrid w:val="0"/>
              <w:spacing w:line="330" w:lineRule="atLeast"/>
              <w:jc w:val="left"/>
              <w:rPr>
                <w:rFonts w:hint="eastAsia" w:ascii="宋体" w:hAnsi="宋体" w:eastAsia="宋体" w:cs="宋体"/>
                <w:color w:val="auto"/>
                <w:kern w:val="0"/>
                <w:szCs w:val="21"/>
                <w:highlight w:val="none"/>
              </w:rPr>
            </w:pPr>
          </w:p>
        </w:tc>
      </w:tr>
    </w:tbl>
    <w:p w14:paraId="0CD38E67">
      <w:pPr>
        <w:keepNext/>
        <w:topLinePunct/>
        <w:adjustRightInd w:val="0"/>
        <w:snapToGrid w:val="0"/>
        <w:spacing w:line="360" w:lineRule="auto"/>
        <w:ind w:firstLine="420"/>
        <w:rPr>
          <w:color w:val="auto"/>
          <w:kern w:val="0"/>
          <w:szCs w:val="21"/>
          <w:highlight w:val="none"/>
        </w:rPr>
      </w:pPr>
    </w:p>
    <w:p w14:paraId="0EE2C937">
      <w:pPr>
        <w:keepNext/>
        <w:topLinePunct/>
        <w:adjustRightInd w:val="0"/>
        <w:snapToGrid w:val="0"/>
        <w:spacing w:line="360" w:lineRule="auto"/>
        <w:ind w:firstLine="420"/>
        <w:rPr>
          <w:rFonts w:hint="eastAsia" w:ascii="宋体" w:hAnsi="宋体" w:eastAsia="宋体" w:cs="宋体"/>
          <w:color w:val="auto"/>
          <w:kern w:val="0"/>
          <w:sz w:val="24"/>
          <w:highlight w:val="none"/>
        </w:rPr>
      </w:pPr>
      <w:r>
        <w:rPr>
          <w:color w:val="auto"/>
          <w:kern w:val="0"/>
          <w:szCs w:val="21"/>
          <w:highlight w:val="none"/>
        </w:rPr>
        <w:t>注：生产厂家（制造商）企业类型填写：大型企业、中型企业、小微企业、监狱企业、残疾人福利性单位</w:t>
      </w:r>
    </w:p>
    <w:p w14:paraId="6A09F717">
      <w:pPr>
        <w:keepNext/>
        <w:tabs>
          <w:tab w:val="left" w:pos="4000"/>
        </w:tabs>
        <w:topLinePunct/>
        <w:adjustRightInd w:val="0"/>
        <w:snapToGrid w:val="0"/>
        <w:spacing w:line="360" w:lineRule="auto"/>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(盖章)</w:t>
      </w:r>
    </w:p>
    <w:p w14:paraId="240C68E7">
      <w:pPr>
        <w:keepNext/>
        <w:tabs>
          <w:tab w:val="left" w:pos="3760"/>
        </w:tabs>
        <w:topLinePunct/>
        <w:adjustRightInd w:val="0"/>
        <w:snapToGrid w:val="0"/>
        <w:spacing w:line="360" w:lineRule="auto"/>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(签字或盖章)</w:t>
      </w:r>
    </w:p>
    <w:p w14:paraId="5906B61F">
      <w:pPr>
        <w:keepNext/>
        <w:topLinePunct/>
        <w:adjustRightInd w:val="0"/>
        <w:snapToGrid w:val="0"/>
        <w:spacing w:line="360" w:lineRule="auto"/>
        <w:ind w:firstLine="2730" w:firstLine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20D0D382">
      <w:pPr>
        <w:keepNext/>
        <w:topLinePunct/>
        <w:adjustRightInd w:val="0"/>
        <w:snapToGrid w:val="0"/>
        <w:spacing w:line="360" w:lineRule="auto"/>
        <w:outlineLvl w:val="2"/>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rPr>
        <w:br w:type="page"/>
      </w:r>
      <w:bookmarkStart w:id="76" w:name="_Toc180347490"/>
      <w:r>
        <w:rPr>
          <w:rFonts w:hint="eastAsia" w:ascii="宋体" w:hAnsi="宋体" w:eastAsia="宋体" w:cs="宋体"/>
          <w:b/>
          <w:color w:val="auto"/>
          <w:kern w:val="0"/>
          <w:sz w:val="24"/>
          <w:highlight w:val="none"/>
        </w:rPr>
        <w:t>5．</w:t>
      </w:r>
      <w:bookmarkEnd w:id="76"/>
      <w:r>
        <w:rPr>
          <w:rFonts w:hint="eastAsia" w:ascii="宋体" w:hAnsi="宋体" w:cs="宋体"/>
          <w:b/>
          <w:color w:val="auto"/>
          <w:kern w:val="0"/>
          <w:sz w:val="24"/>
          <w:highlight w:val="none"/>
          <w:lang w:eastAsia="zh-CN"/>
        </w:rPr>
        <w:t>投标文件商务响应表</w:t>
      </w:r>
    </w:p>
    <w:p w14:paraId="0A65ADF3">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lang w:eastAsia="zh-CN"/>
        </w:rPr>
        <w:t>投标文件商务响应表</w:t>
      </w:r>
    </w:p>
    <w:p w14:paraId="5C68DFEE">
      <w:pPr>
        <w:keepNext/>
        <w:topLinePunc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6129382C">
      <w:pPr>
        <w:keepNext/>
        <w:topLinePunc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729C8F1D">
      <w:pPr>
        <w:keepNext/>
        <w:topLinePunc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包    号：</w:t>
      </w:r>
    </w:p>
    <w:p w14:paraId="0B16AABC">
      <w:pPr>
        <w:keepNext/>
        <w:topLinePunct/>
        <w:spacing w:line="330" w:lineRule="atLeast"/>
        <w:ind w:firstLine="420"/>
        <w:jc w:val="left"/>
        <w:rPr>
          <w:rFonts w:hint="eastAsia" w:ascii="宋体" w:hAnsi="宋体" w:eastAsia="宋体" w:cs="宋体"/>
          <w:color w:val="auto"/>
          <w:kern w:val="0"/>
          <w:szCs w:val="21"/>
          <w:highlight w:val="none"/>
        </w:rPr>
      </w:pPr>
    </w:p>
    <w:tbl>
      <w:tblPr>
        <w:tblStyle w:val="20"/>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80"/>
        <w:gridCol w:w="2464"/>
        <w:gridCol w:w="3116"/>
        <w:gridCol w:w="1016"/>
      </w:tblGrid>
      <w:tr w14:paraId="20C2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2" w:type="dxa"/>
            <w:vAlign w:val="center"/>
          </w:tcPr>
          <w:p w14:paraId="09DBBB72">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80" w:type="dxa"/>
            <w:vAlign w:val="center"/>
          </w:tcPr>
          <w:p w14:paraId="11FECC4E">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464" w:type="dxa"/>
            <w:vAlign w:val="center"/>
          </w:tcPr>
          <w:p w14:paraId="13FB129B">
            <w:pPr>
              <w:keepNext/>
              <w:adjustRightInd w:val="0"/>
              <w:snapToGrid w:val="0"/>
              <w:jc w:val="center"/>
              <w:rPr>
                <w:rFonts w:hint="eastAsia" w:ascii="宋体" w:hAnsi="宋体" w:eastAsia="宋体" w:cs="宋体"/>
                <w:color w:val="auto"/>
                <w:sz w:val="24"/>
                <w:highlight w:val="none"/>
              </w:rPr>
            </w:pPr>
            <w:r>
              <w:rPr>
                <w:rFonts w:hint="eastAsia" w:ascii="宋体" w:hAnsi="宋体"/>
                <w:color w:val="auto"/>
                <w:sz w:val="24"/>
                <w:highlight w:val="none"/>
              </w:rPr>
              <w:t>招标文件</w:t>
            </w:r>
            <w:r>
              <w:rPr>
                <w:rFonts w:ascii="宋体" w:hAnsi="宋体"/>
                <w:color w:val="auto"/>
                <w:sz w:val="24"/>
                <w:highlight w:val="none"/>
              </w:rPr>
              <w:t>商务要求</w:t>
            </w:r>
          </w:p>
        </w:tc>
        <w:tc>
          <w:tcPr>
            <w:tcW w:w="3116" w:type="dxa"/>
            <w:vAlign w:val="center"/>
          </w:tcPr>
          <w:p w14:paraId="7E7ADCE6">
            <w:pPr>
              <w:keepNext/>
              <w:adjustRightInd w:val="0"/>
              <w:snapToGrid w:val="0"/>
              <w:jc w:val="center"/>
              <w:rPr>
                <w:rFonts w:hint="eastAsia" w:ascii="宋体" w:hAnsi="宋体" w:eastAsia="宋体" w:cs="宋体"/>
                <w:color w:val="auto"/>
                <w:sz w:val="24"/>
                <w:highlight w:val="none"/>
              </w:rPr>
            </w:pPr>
            <w:r>
              <w:rPr>
                <w:rFonts w:hint="eastAsia" w:ascii="宋体" w:hAnsi="宋体"/>
                <w:color w:val="auto"/>
                <w:sz w:val="24"/>
                <w:highlight w:val="none"/>
              </w:rPr>
              <w:t>投标</w:t>
            </w:r>
            <w:r>
              <w:rPr>
                <w:rFonts w:hint="eastAsia" w:ascii="宋体" w:hAnsi="宋体"/>
                <w:color w:val="auto"/>
                <w:sz w:val="24"/>
                <w:highlight w:val="none"/>
                <w:lang w:val="en-US" w:eastAsia="zh-CN"/>
              </w:rPr>
              <w:t>文件</w:t>
            </w:r>
            <w:r>
              <w:rPr>
                <w:rFonts w:ascii="宋体" w:hAnsi="宋体"/>
                <w:color w:val="auto"/>
                <w:sz w:val="24"/>
                <w:highlight w:val="none"/>
              </w:rPr>
              <w:t>响应</w:t>
            </w:r>
            <w:r>
              <w:rPr>
                <w:rFonts w:hint="eastAsia" w:ascii="宋体" w:hAnsi="宋体"/>
                <w:color w:val="auto"/>
                <w:sz w:val="24"/>
                <w:highlight w:val="none"/>
                <w:lang w:val="en-US" w:eastAsia="zh-CN"/>
              </w:rPr>
              <w:t>内容</w:t>
            </w:r>
          </w:p>
        </w:tc>
        <w:tc>
          <w:tcPr>
            <w:tcW w:w="1016" w:type="dxa"/>
            <w:vAlign w:val="center"/>
          </w:tcPr>
          <w:p w14:paraId="77DD3E30">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  明</w:t>
            </w:r>
          </w:p>
        </w:tc>
      </w:tr>
      <w:tr w14:paraId="4686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2" w:type="dxa"/>
            <w:vAlign w:val="center"/>
          </w:tcPr>
          <w:p w14:paraId="4249263E">
            <w:pPr>
              <w:keepNext/>
              <w:adjustRightInd w:val="0"/>
              <w:snapToGrid w:val="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880" w:type="dxa"/>
            <w:vAlign w:val="center"/>
          </w:tcPr>
          <w:p w14:paraId="71873F59">
            <w:pPr>
              <w:keepNext/>
              <w:adjustRightInd w:val="0"/>
              <w:snapToGrid w:val="0"/>
              <w:jc w:val="center"/>
              <w:rPr>
                <w:rFonts w:hint="eastAsia" w:ascii="宋体" w:hAnsi="宋体" w:eastAsia="宋体" w:cs="宋体"/>
                <w:bCs/>
                <w:color w:val="auto"/>
                <w:kern w:val="0"/>
                <w:sz w:val="24"/>
                <w:highlight w:val="none"/>
              </w:rPr>
            </w:pPr>
          </w:p>
        </w:tc>
        <w:tc>
          <w:tcPr>
            <w:tcW w:w="2464" w:type="dxa"/>
            <w:vAlign w:val="center"/>
          </w:tcPr>
          <w:p w14:paraId="768611BC">
            <w:pPr>
              <w:keepNext/>
              <w:adjustRightInd w:val="0"/>
              <w:snapToGrid w:val="0"/>
              <w:jc w:val="center"/>
              <w:rPr>
                <w:rFonts w:hint="eastAsia" w:ascii="宋体" w:hAnsi="宋体" w:eastAsia="宋体" w:cs="宋体"/>
                <w:bCs/>
                <w:color w:val="auto"/>
                <w:kern w:val="0"/>
                <w:sz w:val="24"/>
                <w:highlight w:val="none"/>
              </w:rPr>
            </w:pPr>
          </w:p>
        </w:tc>
        <w:tc>
          <w:tcPr>
            <w:tcW w:w="3116" w:type="dxa"/>
            <w:vAlign w:val="center"/>
          </w:tcPr>
          <w:p w14:paraId="5F71A3FC">
            <w:pPr>
              <w:keepNext/>
              <w:adjustRightInd w:val="0"/>
              <w:snapToGrid w:val="0"/>
              <w:jc w:val="center"/>
              <w:rPr>
                <w:rFonts w:hint="eastAsia" w:ascii="宋体" w:hAnsi="宋体" w:eastAsia="宋体" w:cs="宋体"/>
                <w:bCs/>
                <w:color w:val="auto"/>
                <w:kern w:val="0"/>
                <w:sz w:val="24"/>
                <w:highlight w:val="none"/>
              </w:rPr>
            </w:pPr>
          </w:p>
        </w:tc>
        <w:tc>
          <w:tcPr>
            <w:tcW w:w="1016" w:type="dxa"/>
            <w:vAlign w:val="center"/>
          </w:tcPr>
          <w:p w14:paraId="01BD958B">
            <w:pPr>
              <w:keepNext/>
              <w:adjustRightInd w:val="0"/>
              <w:snapToGrid w:val="0"/>
              <w:jc w:val="center"/>
              <w:rPr>
                <w:rFonts w:hint="eastAsia" w:ascii="宋体" w:hAnsi="宋体" w:eastAsia="宋体" w:cs="宋体"/>
                <w:bCs/>
                <w:color w:val="auto"/>
                <w:kern w:val="0"/>
                <w:sz w:val="24"/>
                <w:highlight w:val="none"/>
              </w:rPr>
            </w:pPr>
          </w:p>
        </w:tc>
      </w:tr>
      <w:tr w14:paraId="4680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2" w:type="dxa"/>
            <w:vAlign w:val="center"/>
          </w:tcPr>
          <w:p w14:paraId="143C8772">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80" w:type="dxa"/>
            <w:vAlign w:val="center"/>
          </w:tcPr>
          <w:p w14:paraId="5665DB81">
            <w:pPr>
              <w:keepNext/>
              <w:adjustRightInd w:val="0"/>
              <w:snapToGrid w:val="0"/>
              <w:jc w:val="center"/>
              <w:rPr>
                <w:rFonts w:hint="eastAsia" w:ascii="宋体" w:hAnsi="宋体" w:eastAsia="宋体" w:cs="宋体"/>
                <w:color w:val="auto"/>
                <w:sz w:val="24"/>
                <w:highlight w:val="none"/>
              </w:rPr>
            </w:pPr>
          </w:p>
        </w:tc>
        <w:tc>
          <w:tcPr>
            <w:tcW w:w="2464" w:type="dxa"/>
            <w:vAlign w:val="center"/>
          </w:tcPr>
          <w:p w14:paraId="0828FA18">
            <w:pPr>
              <w:keepNext/>
              <w:adjustRightInd w:val="0"/>
              <w:snapToGrid w:val="0"/>
              <w:jc w:val="center"/>
              <w:rPr>
                <w:rFonts w:hint="eastAsia" w:ascii="宋体" w:hAnsi="宋体" w:eastAsia="宋体" w:cs="宋体"/>
                <w:color w:val="auto"/>
                <w:sz w:val="24"/>
                <w:highlight w:val="none"/>
              </w:rPr>
            </w:pPr>
          </w:p>
        </w:tc>
        <w:tc>
          <w:tcPr>
            <w:tcW w:w="3116" w:type="dxa"/>
            <w:vAlign w:val="center"/>
          </w:tcPr>
          <w:p w14:paraId="205A8B37">
            <w:pPr>
              <w:keepNext/>
              <w:adjustRightInd w:val="0"/>
              <w:snapToGrid w:val="0"/>
              <w:jc w:val="center"/>
              <w:rPr>
                <w:rFonts w:hint="eastAsia" w:ascii="宋体" w:hAnsi="宋体" w:eastAsia="宋体" w:cs="宋体"/>
                <w:color w:val="auto"/>
                <w:sz w:val="24"/>
                <w:highlight w:val="none"/>
              </w:rPr>
            </w:pPr>
          </w:p>
        </w:tc>
        <w:tc>
          <w:tcPr>
            <w:tcW w:w="1016" w:type="dxa"/>
            <w:vAlign w:val="center"/>
          </w:tcPr>
          <w:p w14:paraId="33804274">
            <w:pPr>
              <w:keepNext/>
              <w:adjustRightInd w:val="0"/>
              <w:snapToGrid w:val="0"/>
              <w:jc w:val="center"/>
              <w:rPr>
                <w:rFonts w:hint="eastAsia" w:ascii="宋体" w:hAnsi="宋体" w:eastAsia="宋体" w:cs="宋体"/>
                <w:color w:val="auto"/>
                <w:sz w:val="24"/>
                <w:highlight w:val="none"/>
              </w:rPr>
            </w:pPr>
          </w:p>
        </w:tc>
      </w:tr>
      <w:tr w14:paraId="10FE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2" w:type="dxa"/>
            <w:vAlign w:val="center"/>
          </w:tcPr>
          <w:p w14:paraId="2C142746">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80" w:type="dxa"/>
            <w:vAlign w:val="center"/>
          </w:tcPr>
          <w:p w14:paraId="7523A19F">
            <w:pPr>
              <w:keepNext/>
              <w:adjustRightInd w:val="0"/>
              <w:snapToGrid w:val="0"/>
              <w:jc w:val="center"/>
              <w:rPr>
                <w:rFonts w:hint="eastAsia" w:ascii="宋体" w:hAnsi="宋体" w:eastAsia="宋体" w:cs="宋体"/>
                <w:color w:val="auto"/>
                <w:sz w:val="24"/>
                <w:highlight w:val="none"/>
              </w:rPr>
            </w:pPr>
          </w:p>
        </w:tc>
        <w:tc>
          <w:tcPr>
            <w:tcW w:w="2464" w:type="dxa"/>
            <w:vAlign w:val="center"/>
          </w:tcPr>
          <w:p w14:paraId="2A036F78">
            <w:pPr>
              <w:keepNext/>
              <w:adjustRightInd w:val="0"/>
              <w:snapToGrid w:val="0"/>
              <w:jc w:val="center"/>
              <w:rPr>
                <w:rFonts w:hint="eastAsia" w:ascii="宋体" w:hAnsi="宋体" w:eastAsia="宋体" w:cs="宋体"/>
                <w:color w:val="auto"/>
                <w:sz w:val="24"/>
                <w:highlight w:val="none"/>
              </w:rPr>
            </w:pPr>
          </w:p>
        </w:tc>
        <w:tc>
          <w:tcPr>
            <w:tcW w:w="3116" w:type="dxa"/>
            <w:vAlign w:val="center"/>
          </w:tcPr>
          <w:p w14:paraId="3CD95E71">
            <w:pPr>
              <w:keepNext/>
              <w:adjustRightInd w:val="0"/>
              <w:snapToGrid w:val="0"/>
              <w:jc w:val="center"/>
              <w:rPr>
                <w:rFonts w:hint="eastAsia" w:ascii="宋体" w:hAnsi="宋体" w:eastAsia="宋体" w:cs="宋体"/>
                <w:color w:val="auto"/>
                <w:sz w:val="24"/>
                <w:highlight w:val="none"/>
              </w:rPr>
            </w:pPr>
          </w:p>
        </w:tc>
        <w:tc>
          <w:tcPr>
            <w:tcW w:w="1016" w:type="dxa"/>
            <w:vAlign w:val="center"/>
          </w:tcPr>
          <w:p w14:paraId="02B4B1B4">
            <w:pPr>
              <w:keepNext/>
              <w:adjustRightInd w:val="0"/>
              <w:snapToGrid w:val="0"/>
              <w:jc w:val="center"/>
              <w:rPr>
                <w:rFonts w:hint="eastAsia" w:ascii="宋体" w:hAnsi="宋体" w:eastAsia="宋体" w:cs="宋体"/>
                <w:color w:val="auto"/>
                <w:sz w:val="24"/>
                <w:highlight w:val="none"/>
              </w:rPr>
            </w:pPr>
          </w:p>
        </w:tc>
      </w:tr>
      <w:tr w14:paraId="56D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2" w:type="dxa"/>
            <w:vAlign w:val="center"/>
          </w:tcPr>
          <w:p w14:paraId="5E75B06C">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80" w:type="dxa"/>
            <w:vAlign w:val="center"/>
          </w:tcPr>
          <w:p w14:paraId="53EA6901">
            <w:pPr>
              <w:keepNext/>
              <w:adjustRightInd w:val="0"/>
              <w:snapToGrid w:val="0"/>
              <w:jc w:val="center"/>
              <w:rPr>
                <w:rFonts w:hint="eastAsia" w:ascii="宋体" w:hAnsi="宋体" w:eastAsia="宋体" w:cs="宋体"/>
                <w:color w:val="auto"/>
                <w:sz w:val="24"/>
                <w:highlight w:val="none"/>
              </w:rPr>
            </w:pPr>
          </w:p>
        </w:tc>
        <w:tc>
          <w:tcPr>
            <w:tcW w:w="2464" w:type="dxa"/>
            <w:vAlign w:val="center"/>
          </w:tcPr>
          <w:p w14:paraId="2DE03543">
            <w:pPr>
              <w:keepNext/>
              <w:adjustRightInd w:val="0"/>
              <w:snapToGrid w:val="0"/>
              <w:jc w:val="center"/>
              <w:rPr>
                <w:rFonts w:hint="eastAsia" w:ascii="宋体" w:hAnsi="宋体" w:eastAsia="宋体" w:cs="宋体"/>
                <w:color w:val="auto"/>
                <w:sz w:val="24"/>
                <w:highlight w:val="none"/>
              </w:rPr>
            </w:pPr>
          </w:p>
        </w:tc>
        <w:tc>
          <w:tcPr>
            <w:tcW w:w="3116" w:type="dxa"/>
            <w:vAlign w:val="center"/>
          </w:tcPr>
          <w:p w14:paraId="78E80133">
            <w:pPr>
              <w:keepNext/>
              <w:adjustRightInd w:val="0"/>
              <w:snapToGrid w:val="0"/>
              <w:jc w:val="center"/>
              <w:rPr>
                <w:rFonts w:hint="eastAsia" w:ascii="宋体" w:hAnsi="宋体" w:eastAsia="宋体" w:cs="宋体"/>
                <w:color w:val="auto"/>
                <w:sz w:val="24"/>
                <w:highlight w:val="none"/>
              </w:rPr>
            </w:pPr>
          </w:p>
        </w:tc>
        <w:tc>
          <w:tcPr>
            <w:tcW w:w="1016" w:type="dxa"/>
            <w:vAlign w:val="center"/>
          </w:tcPr>
          <w:p w14:paraId="374CC9FB">
            <w:pPr>
              <w:keepNext/>
              <w:adjustRightInd w:val="0"/>
              <w:snapToGrid w:val="0"/>
              <w:jc w:val="center"/>
              <w:rPr>
                <w:rFonts w:hint="eastAsia" w:ascii="宋体" w:hAnsi="宋体" w:eastAsia="宋体" w:cs="宋体"/>
                <w:color w:val="auto"/>
                <w:sz w:val="24"/>
                <w:highlight w:val="none"/>
              </w:rPr>
            </w:pPr>
          </w:p>
        </w:tc>
      </w:tr>
      <w:tr w14:paraId="4595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2" w:type="dxa"/>
            <w:vAlign w:val="center"/>
          </w:tcPr>
          <w:p w14:paraId="17991287">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80" w:type="dxa"/>
            <w:vAlign w:val="center"/>
          </w:tcPr>
          <w:p w14:paraId="0E1166B0">
            <w:pPr>
              <w:keepNext/>
              <w:adjustRightInd w:val="0"/>
              <w:snapToGrid w:val="0"/>
              <w:jc w:val="center"/>
              <w:rPr>
                <w:rFonts w:hint="eastAsia" w:ascii="宋体" w:hAnsi="宋体" w:eastAsia="宋体" w:cs="宋体"/>
                <w:color w:val="auto"/>
                <w:sz w:val="24"/>
                <w:highlight w:val="none"/>
              </w:rPr>
            </w:pPr>
          </w:p>
        </w:tc>
        <w:tc>
          <w:tcPr>
            <w:tcW w:w="2464" w:type="dxa"/>
            <w:vAlign w:val="center"/>
          </w:tcPr>
          <w:p w14:paraId="12EA2ADC">
            <w:pPr>
              <w:keepNext/>
              <w:adjustRightInd w:val="0"/>
              <w:snapToGrid w:val="0"/>
              <w:jc w:val="center"/>
              <w:rPr>
                <w:rFonts w:hint="eastAsia" w:ascii="宋体" w:hAnsi="宋体" w:eastAsia="宋体" w:cs="宋体"/>
                <w:color w:val="auto"/>
                <w:sz w:val="24"/>
                <w:highlight w:val="none"/>
              </w:rPr>
            </w:pPr>
          </w:p>
        </w:tc>
        <w:tc>
          <w:tcPr>
            <w:tcW w:w="3116" w:type="dxa"/>
            <w:vAlign w:val="center"/>
          </w:tcPr>
          <w:p w14:paraId="693025F3">
            <w:pPr>
              <w:keepNext/>
              <w:adjustRightInd w:val="0"/>
              <w:snapToGrid w:val="0"/>
              <w:jc w:val="center"/>
              <w:rPr>
                <w:rFonts w:hint="eastAsia" w:ascii="宋体" w:hAnsi="宋体" w:eastAsia="宋体" w:cs="宋体"/>
                <w:color w:val="auto"/>
                <w:sz w:val="24"/>
                <w:highlight w:val="none"/>
              </w:rPr>
            </w:pPr>
          </w:p>
        </w:tc>
        <w:tc>
          <w:tcPr>
            <w:tcW w:w="1016" w:type="dxa"/>
            <w:vAlign w:val="center"/>
          </w:tcPr>
          <w:p w14:paraId="4286B9F4">
            <w:pPr>
              <w:keepNext/>
              <w:adjustRightInd w:val="0"/>
              <w:snapToGrid w:val="0"/>
              <w:jc w:val="center"/>
              <w:rPr>
                <w:rFonts w:hint="eastAsia" w:ascii="宋体" w:hAnsi="宋体" w:eastAsia="宋体" w:cs="宋体"/>
                <w:color w:val="auto"/>
                <w:sz w:val="24"/>
                <w:highlight w:val="none"/>
              </w:rPr>
            </w:pPr>
          </w:p>
        </w:tc>
      </w:tr>
      <w:tr w14:paraId="35CD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2" w:type="dxa"/>
            <w:vAlign w:val="center"/>
          </w:tcPr>
          <w:p w14:paraId="19EF2DE1">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880" w:type="dxa"/>
            <w:vAlign w:val="center"/>
          </w:tcPr>
          <w:p w14:paraId="5A08027D">
            <w:pPr>
              <w:keepNext/>
              <w:adjustRightInd w:val="0"/>
              <w:snapToGrid w:val="0"/>
              <w:jc w:val="center"/>
              <w:rPr>
                <w:rFonts w:hint="eastAsia" w:ascii="宋体" w:hAnsi="宋体" w:eastAsia="宋体" w:cs="宋体"/>
                <w:color w:val="auto"/>
                <w:sz w:val="24"/>
                <w:highlight w:val="none"/>
              </w:rPr>
            </w:pPr>
          </w:p>
        </w:tc>
        <w:tc>
          <w:tcPr>
            <w:tcW w:w="2464" w:type="dxa"/>
            <w:vAlign w:val="center"/>
          </w:tcPr>
          <w:p w14:paraId="1F01695A">
            <w:pPr>
              <w:keepNext/>
              <w:adjustRightInd w:val="0"/>
              <w:snapToGrid w:val="0"/>
              <w:jc w:val="center"/>
              <w:rPr>
                <w:rFonts w:hint="eastAsia" w:ascii="宋体" w:hAnsi="宋体" w:eastAsia="宋体" w:cs="宋体"/>
                <w:color w:val="auto"/>
                <w:sz w:val="24"/>
                <w:highlight w:val="none"/>
              </w:rPr>
            </w:pPr>
          </w:p>
        </w:tc>
        <w:tc>
          <w:tcPr>
            <w:tcW w:w="3116" w:type="dxa"/>
            <w:vAlign w:val="center"/>
          </w:tcPr>
          <w:p w14:paraId="7668B22B">
            <w:pPr>
              <w:keepNext/>
              <w:adjustRightInd w:val="0"/>
              <w:snapToGrid w:val="0"/>
              <w:jc w:val="center"/>
              <w:rPr>
                <w:rFonts w:hint="eastAsia" w:ascii="宋体" w:hAnsi="宋体" w:eastAsia="宋体" w:cs="宋体"/>
                <w:color w:val="auto"/>
                <w:sz w:val="24"/>
                <w:highlight w:val="none"/>
              </w:rPr>
            </w:pPr>
          </w:p>
        </w:tc>
        <w:tc>
          <w:tcPr>
            <w:tcW w:w="1016" w:type="dxa"/>
            <w:vAlign w:val="center"/>
          </w:tcPr>
          <w:p w14:paraId="76ADB55A">
            <w:pPr>
              <w:keepNext/>
              <w:adjustRightInd w:val="0"/>
              <w:snapToGrid w:val="0"/>
              <w:jc w:val="center"/>
              <w:rPr>
                <w:rFonts w:hint="eastAsia" w:ascii="宋体" w:hAnsi="宋体" w:eastAsia="宋体" w:cs="宋体"/>
                <w:color w:val="auto"/>
                <w:sz w:val="24"/>
                <w:highlight w:val="none"/>
              </w:rPr>
            </w:pPr>
          </w:p>
        </w:tc>
      </w:tr>
      <w:tr w14:paraId="4F8B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82" w:type="dxa"/>
            <w:vAlign w:val="center"/>
          </w:tcPr>
          <w:p w14:paraId="73AD53FB">
            <w:pPr>
              <w:keepNex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880" w:type="dxa"/>
            <w:vAlign w:val="center"/>
          </w:tcPr>
          <w:p w14:paraId="41256D0C">
            <w:pPr>
              <w:keepNext/>
              <w:adjustRightInd w:val="0"/>
              <w:snapToGrid w:val="0"/>
              <w:jc w:val="center"/>
              <w:rPr>
                <w:rFonts w:hint="eastAsia" w:ascii="宋体" w:hAnsi="宋体" w:eastAsia="宋体" w:cs="宋体"/>
                <w:color w:val="auto"/>
                <w:sz w:val="24"/>
                <w:highlight w:val="none"/>
              </w:rPr>
            </w:pPr>
          </w:p>
        </w:tc>
        <w:tc>
          <w:tcPr>
            <w:tcW w:w="2464" w:type="dxa"/>
            <w:vAlign w:val="center"/>
          </w:tcPr>
          <w:p w14:paraId="2597DC71">
            <w:pPr>
              <w:keepNext/>
              <w:adjustRightInd w:val="0"/>
              <w:snapToGrid w:val="0"/>
              <w:jc w:val="center"/>
              <w:rPr>
                <w:rFonts w:hint="eastAsia" w:ascii="宋体" w:hAnsi="宋体" w:eastAsia="宋体" w:cs="宋体"/>
                <w:color w:val="auto"/>
                <w:sz w:val="24"/>
                <w:highlight w:val="none"/>
              </w:rPr>
            </w:pPr>
          </w:p>
        </w:tc>
        <w:tc>
          <w:tcPr>
            <w:tcW w:w="3116" w:type="dxa"/>
            <w:vAlign w:val="center"/>
          </w:tcPr>
          <w:p w14:paraId="6CF49574">
            <w:pPr>
              <w:keepNext/>
              <w:adjustRightInd w:val="0"/>
              <w:snapToGrid w:val="0"/>
              <w:jc w:val="center"/>
              <w:rPr>
                <w:rFonts w:hint="eastAsia" w:ascii="宋体" w:hAnsi="宋体" w:eastAsia="宋体" w:cs="宋体"/>
                <w:color w:val="auto"/>
                <w:sz w:val="24"/>
                <w:highlight w:val="none"/>
              </w:rPr>
            </w:pPr>
          </w:p>
        </w:tc>
        <w:tc>
          <w:tcPr>
            <w:tcW w:w="1016" w:type="dxa"/>
            <w:vAlign w:val="center"/>
          </w:tcPr>
          <w:p w14:paraId="2D21BC13">
            <w:pPr>
              <w:keepNext/>
              <w:adjustRightInd w:val="0"/>
              <w:snapToGrid w:val="0"/>
              <w:jc w:val="center"/>
              <w:rPr>
                <w:rFonts w:hint="eastAsia" w:ascii="宋体" w:hAnsi="宋体" w:eastAsia="宋体" w:cs="宋体"/>
                <w:color w:val="auto"/>
                <w:sz w:val="24"/>
                <w:highlight w:val="none"/>
              </w:rPr>
            </w:pPr>
          </w:p>
        </w:tc>
      </w:tr>
    </w:tbl>
    <w:p w14:paraId="2E05C8E0">
      <w:pPr>
        <w:keepNext/>
        <w:topLinePunct/>
        <w:snapToGrid w:val="0"/>
        <w:ind w:firstLine="480"/>
        <w:rPr>
          <w:rFonts w:hint="eastAsia" w:ascii="宋体" w:hAnsi="宋体" w:eastAsia="宋体" w:cs="宋体"/>
          <w:color w:val="auto"/>
          <w:sz w:val="24"/>
          <w:highlight w:val="none"/>
          <w:u w:val="single"/>
        </w:rPr>
      </w:pPr>
    </w:p>
    <w:p w14:paraId="3047C6B4">
      <w:pPr>
        <w:keepNext/>
        <w:tabs>
          <w:tab w:val="left" w:pos="4000"/>
        </w:tabs>
        <w:topLinePunct/>
        <w:snapToGrid w:val="0"/>
        <w:spacing w:line="480" w:lineRule="auto"/>
        <w:ind w:firstLine="2400" w:firstLineChars="1000"/>
        <w:jc w:val="left"/>
        <w:rPr>
          <w:rFonts w:hint="eastAsia" w:ascii="宋体" w:hAnsi="宋体" w:eastAsia="宋体" w:cs="宋体"/>
          <w:color w:val="auto"/>
          <w:kern w:val="0"/>
          <w:sz w:val="24"/>
          <w:highlight w:val="none"/>
        </w:rPr>
      </w:pPr>
    </w:p>
    <w:p w14:paraId="588EE909">
      <w:pPr>
        <w:keepNext/>
        <w:tabs>
          <w:tab w:val="left" w:pos="4000"/>
        </w:tabs>
        <w:topLinePunct/>
        <w:snapToGrid w:val="0"/>
        <w:spacing w:line="480" w:lineRule="auto"/>
        <w:ind w:firstLine="2400" w:firstLineChars="1000"/>
        <w:jc w:val="left"/>
        <w:rPr>
          <w:rFonts w:hint="eastAsia" w:ascii="宋体" w:hAnsi="宋体" w:eastAsia="宋体" w:cs="宋体"/>
          <w:color w:val="auto"/>
          <w:kern w:val="0"/>
          <w:sz w:val="24"/>
          <w:highlight w:val="none"/>
        </w:rPr>
      </w:pPr>
    </w:p>
    <w:p w14:paraId="09FD505E">
      <w:pPr>
        <w:keepNext/>
        <w:tabs>
          <w:tab w:val="left" w:pos="4000"/>
        </w:tabs>
        <w:topLinePunct/>
        <w:snapToGrid w:val="0"/>
        <w:spacing w:line="480" w:lineRule="auto"/>
        <w:ind w:firstLine="3360" w:firstLineChars="14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5990F62B">
      <w:pPr>
        <w:keepNext/>
        <w:tabs>
          <w:tab w:val="left" w:pos="4000"/>
        </w:tabs>
        <w:topLinePunct/>
        <w:snapToGrid w:val="0"/>
        <w:spacing w:line="480" w:lineRule="auto"/>
        <w:ind w:firstLine="3360" w:firstLineChars="14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投标人授权代表：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6346E684">
      <w:pPr>
        <w:keepNext/>
        <w:topLinePunct/>
        <w:snapToGrid w:val="0"/>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141043AC">
      <w:pPr>
        <w:keepNext/>
        <w:topLinePunct/>
        <w:adjustRightInd w:val="0"/>
        <w:snapToGrid w:val="0"/>
        <w:spacing w:line="360" w:lineRule="auto"/>
        <w:outlineLvl w:val="2"/>
        <w:rPr>
          <w:rFonts w:hint="eastAsia" w:ascii="宋体" w:hAnsi="宋体" w:eastAsia="宋体" w:cs="宋体"/>
          <w:b/>
          <w:color w:val="auto"/>
          <w:kern w:val="0"/>
          <w:sz w:val="24"/>
          <w:highlight w:val="none"/>
          <w:lang w:eastAsia="zh-CN"/>
        </w:rPr>
      </w:pPr>
      <w:r>
        <w:rPr>
          <w:rFonts w:hint="eastAsia" w:ascii="宋体" w:hAnsi="宋体" w:eastAsia="宋体" w:cs="宋体"/>
          <w:b/>
          <w:bCs/>
          <w:color w:val="auto"/>
          <w:sz w:val="32"/>
          <w:szCs w:val="32"/>
          <w:highlight w:val="none"/>
        </w:rPr>
        <w:br w:type="page"/>
      </w:r>
      <w:bookmarkStart w:id="77" w:name="_Toc180347491"/>
      <w:r>
        <w:rPr>
          <w:rFonts w:hint="eastAsia" w:ascii="宋体" w:hAnsi="宋体" w:eastAsia="宋体" w:cs="宋体"/>
          <w:b/>
          <w:color w:val="auto"/>
          <w:kern w:val="0"/>
          <w:sz w:val="24"/>
          <w:highlight w:val="none"/>
        </w:rPr>
        <w:t>6．</w:t>
      </w:r>
      <w:bookmarkEnd w:id="77"/>
      <w:r>
        <w:rPr>
          <w:rFonts w:hint="eastAsia" w:ascii="宋体" w:hAnsi="宋体" w:cs="宋体"/>
          <w:b/>
          <w:color w:val="auto"/>
          <w:kern w:val="0"/>
          <w:sz w:val="24"/>
          <w:highlight w:val="none"/>
          <w:lang w:eastAsia="zh-CN"/>
        </w:rPr>
        <w:t>投标文件技术响应表</w:t>
      </w:r>
    </w:p>
    <w:p w14:paraId="5E9DB29A">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p>
    <w:p w14:paraId="38D0CB67">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lang w:eastAsia="zh-CN"/>
        </w:rPr>
        <w:t>投标文件技术响应表</w:t>
      </w:r>
    </w:p>
    <w:p w14:paraId="3A1A31FE">
      <w:pPr>
        <w:keepNext/>
        <w:topLinePunct/>
        <w:spacing w:line="360" w:lineRule="auto"/>
        <w:ind w:firstLine="480"/>
        <w:rPr>
          <w:rFonts w:hint="eastAsia" w:ascii="宋体" w:hAnsi="宋体" w:eastAsia="宋体" w:cs="宋体"/>
          <w:color w:val="auto"/>
          <w:sz w:val="24"/>
          <w:highlight w:val="none"/>
        </w:rPr>
      </w:pPr>
    </w:p>
    <w:p w14:paraId="4D8AB006">
      <w:pPr>
        <w:keepNext/>
        <w:topLinePunc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61469765">
      <w:pPr>
        <w:keepNext/>
        <w:topLinePunc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7E699ADE">
      <w:pPr>
        <w:keepNext/>
        <w:topLinePunct/>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包    号：</w:t>
      </w:r>
    </w:p>
    <w:tbl>
      <w:tblPr>
        <w:tblStyle w:val="20"/>
        <w:tblW w:w="92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27"/>
        <w:gridCol w:w="1399"/>
        <w:gridCol w:w="2579"/>
        <w:gridCol w:w="3143"/>
        <w:gridCol w:w="1429"/>
      </w:tblGrid>
      <w:tr w14:paraId="0EC1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727" w:type="dxa"/>
            <w:tcBorders>
              <w:top w:val="single" w:color="000000" w:sz="6" w:space="0"/>
              <w:left w:val="single" w:color="000000" w:sz="6" w:space="0"/>
              <w:bottom w:val="single" w:color="000000" w:sz="6" w:space="0"/>
              <w:right w:val="single" w:color="auto" w:sz="4" w:space="0"/>
            </w:tcBorders>
            <w:vAlign w:val="center"/>
          </w:tcPr>
          <w:p w14:paraId="600AE44B">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序号</w:t>
            </w:r>
          </w:p>
        </w:tc>
        <w:tc>
          <w:tcPr>
            <w:tcW w:w="1399" w:type="dxa"/>
            <w:tcBorders>
              <w:top w:val="single" w:color="000000" w:sz="6" w:space="0"/>
              <w:left w:val="single" w:color="auto" w:sz="4" w:space="0"/>
              <w:bottom w:val="single" w:color="000000" w:sz="6" w:space="0"/>
              <w:right w:val="single" w:color="000000" w:sz="6" w:space="0"/>
            </w:tcBorders>
            <w:vAlign w:val="center"/>
          </w:tcPr>
          <w:p w14:paraId="2D5A42F6">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rFonts w:hint="eastAsia"/>
                <w:bCs/>
                <w:color w:val="auto"/>
                <w:sz w:val="24"/>
                <w:highlight w:val="none"/>
                <w:lang w:eastAsia="zh-CN"/>
              </w:rPr>
              <w:t>标的名称</w:t>
            </w:r>
          </w:p>
        </w:tc>
        <w:tc>
          <w:tcPr>
            <w:tcW w:w="2579" w:type="dxa"/>
            <w:tcBorders>
              <w:top w:val="single" w:color="000000" w:sz="6" w:space="0"/>
              <w:left w:val="single" w:color="000000" w:sz="6" w:space="0"/>
              <w:bottom w:val="single" w:color="000000" w:sz="6" w:space="0"/>
              <w:right w:val="single" w:color="000000" w:sz="6" w:space="0"/>
            </w:tcBorders>
            <w:vAlign w:val="center"/>
          </w:tcPr>
          <w:p w14:paraId="3AA9EEBB">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招标文件</w:t>
            </w:r>
            <w:r>
              <w:rPr>
                <w:color w:val="auto"/>
                <w:kern w:val="0"/>
                <w:sz w:val="24"/>
                <w:highlight w:val="none"/>
              </w:rPr>
              <w:t>技术</w:t>
            </w:r>
          </w:p>
          <w:p w14:paraId="55718C21">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lang w:val="en-US" w:eastAsia="zh-CN"/>
              </w:rPr>
              <w:t>规范</w:t>
            </w:r>
            <w:r>
              <w:rPr>
                <w:color w:val="auto"/>
                <w:kern w:val="0"/>
                <w:sz w:val="24"/>
                <w:highlight w:val="none"/>
              </w:rPr>
              <w:t>、</w:t>
            </w:r>
            <w:r>
              <w:rPr>
                <w:rFonts w:hint="eastAsia"/>
                <w:color w:val="auto"/>
                <w:kern w:val="0"/>
                <w:sz w:val="24"/>
                <w:highlight w:val="none"/>
                <w:lang w:val="en-US" w:eastAsia="zh-CN"/>
              </w:rPr>
              <w:t>服务</w:t>
            </w:r>
            <w:r>
              <w:rPr>
                <w:color w:val="auto"/>
                <w:kern w:val="0"/>
                <w:sz w:val="24"/>
                <w:highlight w:val="none"/>
              </w:rPr>
              <w:t>要求</w:t>
            </w:r>
          </w:p>
        </w:tc>
        <w:tc>
          <w:tcPr>
            <w:tcW w:w="3143" w:type="dxa"/>
            <w:tcBorders>
              <w:top w:val="single" w:color="000000" w:sz="6" w:space="0"/>
              <w:left w:val="single" w:color="000000" w:sz="6" w:space="0"/>
              <w:bottom w:val="single" w:color="000000" w:sz="6" w:space="0"/>
              <w:right w:val="single" w:color="000000" w:sz="6" w:space="0"/>
            </w:tcBorders>
            <w:vAlign w:val="center"/>
          </w:tcPr>
          <w:p w14:paraId="59CDA928">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rFonts w:hint="eastAsia"/>
                <w:color w:val="auto"/>
                <w:kern w:val="0"/>
                <w:sz w:val="24"/>
                <w:highlight w:val="none"/>
              </w:rPr>
              <w:t>投标文件</w:t>
            </w:r>
            <w:r>
              <w:rPr>
                <w:rFonts w:hint="eastAsia"/>
                <w:color w:val="auto"/>
                <w:kern w:val="0"/>
                <w:sz w:val="24"/>
                <w:highlight w:val="none"/>
                <w:lang w:val="en-US" w:eastAsia="zh-CN"/>
              </w:rPr>
              <w:t>响应内容</w:t>
            </w:r>
          </w:p>
        </w:tc>
        <w:tc>
          <w:tcPr>
            <w:tcW w:w="1429" w:type="dxa"/>
            <w:tcBorders>
              <w:top w:val="single" w:color="000000" w:sz="6" w:space="0"/>
              <w:left w:val="single" w:color="000000" w:sz="6" w:space="0"/>
              <w:bottom w:val="single" w:color="000000" w:sz="6" w:space="0"/>
              <w:right w:val="single" w:color="000000" w:sz="6" w:space="0"/>
            </w:tcBorders>
            <w:vAlign w:val="center"/>
          </w:tcPr>
          <w:p w14:paraId="6A5A8E0F">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lang w:val="en-US" w:eastAsia="zh-CN"/>
              </w:rPr>
              <w:t>响应</w:t>
            </w:r>
            <w:r>
              <w:rPr>
                <w:color w:val="auto"/>
                <w:kern w:val="0"/>
                <w:sz w:val="24"/>
                <w:highlight w:val="none"/>
              </w:rPr>
              <w:t>情况</w:t>
            </w:r>
          </w:p>
        </w:tc>
      </w:tr>
      <w:tr w14:paraId="0600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jc w:val="center"/>
        </w:trPr>
        <w:tc>
          <w:tcPr>
            <w:tcW w:w="727" w:type="dxa"/>
            <w:tcBorders>
              <w:top w:val="single" w:color="000000" w:sz="6" w:space="0"/>
              <w:left w:val="single" w:color="000000" w:sz="6" w:space="0"/>
              <w:right w:val="single" w:color="auto" w:sz="4" w:space="0"/>
            </w:tcBorders>
            <w:vAlign w:val="center"/>
          </w:tcPr>
          <w:p w14:paraId="4660E3AC">
            <w:pPr>
              <w:keepNext w:val="0"/>
              <w:keepLines w:val="0"/>
              <w:pageBreakBefore w:val="0"/>
              <w:widowControl w:val="0"/>
              <w:kinsoku/>
              <w:wordWrap w:val="0"/>
              <w:overflowPunct/>
              <w:topLinePunct/>
              <w:autoSpaceDE/>
              <w:autoSpaceDN/>
              <w:bidi w:val="0"/>
              <w:adjustRightInd w:val="0"/>
              <w:snapToGrid w:val="0"/>
              <w:spacing w:line="360" w:lineRule="auto"/>
              <w:jc w:val="center"/>
              <w:rPr>
                <w:color w:val="auto"/>
                <w:kern w:val="0"/>
                <w:sz w:val="24"/>
                <w:highlight w:val="none"/>
              </w:rPr>
            </w:pPr>
          </w:p>
        </w:tc>
        <w:tc>
          <w:tcPr>
            <w:tcW w:w="1399" w:type="dxa"/>
            <w:tcBorders>
              <w:top w:val="single" w:color="000000" w:sz="6" w:space="0"/>
              <w:left w:val="single" w:color="auto" w:sz="4" w:space="0"/>
              <w:right w:val="single" w:color="000000" w:sz="6" w:space="0"/>
            </w:tcBorders>
            <w:shd w:val="clear" w:color="auto" w:fill="auto"/>
            <w:vAlign w:val="center"/>
          </w:tcPr>
          <w:p w14:paraId="34E78C80">
            <w:pPr>
              <w:pStyle w:val="26"/>
              <w:keepNext w:val="0"/>
              <w:keepLines w:val="0"/>
              <w:pageBreakBefore w:val="0"/>
              <w:widowControl w:val="0"/>
              <w:kinsoku/>
              <w:wordWrap w:val="0"/>
              <w:overflowPunct/>
              <w:topLinePunct/>
              <w:autoSpaceDE/>
              <w:autoSpaceDN/>
              <w:bidi w:val="0"/>
              <w:spacing w:line="36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p>
        </w:tc>
        <w:tc>
          <w:tcPr>
            <w:tcW w:w="2579" w:type="dxa"/>
            <w:tcBorders>
              <w:top w:val="single" w:color="000000" w:sz="6" w:space="0"/>
              <w:left w:val="single" w:color="000000" w:sz="6" w:space="0"/>
              <w:bottom w:val="single" w:color="000000" w:sz="6" w:space="0"/>
              <w:right w:val="single" w:color="000000" w:sz="6" w:space="0"/>
            </w:tcBorders>
            <w:vAlign w:val="center"/>
          </w:tcPr>
          <w:p w14:paraId="1816F2FE">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3143" w:type="dxa"/>
            <w:tcBorders>
              <w:top w:val="single" w:color="000000" w:sz="6" w:space="0"/>
              <w:left w:val="single" w:color="000000" w:sz="6" w:space="0"/>
              <w:bottom w:val="single" w:color="000000" w:sz="6" w:space="0"/>
              <w:right w:val="single" w:color="000000" w:sz="6" w:space="0"/>
            </w:tcBorders>
            <w:vAlign w:val="center"/>
          </w:tcPr>
          <w:p w14:paraId="7214F9D2">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429" w:type="dxa"/>
            <w:tcBorders>
              <w:top w:val="single" w:color="000000" w:sz="6" w:space="0"/>
              <w:left w:val="single" w:color="000000" w:sz="6" w:space="0"/>
              <w:bottom w:val="single" w:color="000000" w:sz="6" w:space="0"/>
              <w:right w:val="single" w:color="000000" w:sz="6" w:space="0"/>
            </w:tcBorders>
            <w:vAlign w:val="center"/>
          </w:tcPr>
          <w:p w14:paraId="4716C1B0">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r w14:paraId="0FBE9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jc w:val="center"/>
        </w:trPr>
        <w:tc>
          <w:tcPr>
            <w:tcW w:w="727" w:type="dxa"/>
            <w:tcBorders>
              <w:left w:val="single" w:color="000000" w:sz="6" w:space="0"/>
              <w:right w:val="single" w:color="auto" w:sz="4" w:space="0"/>
            </w:tcBorders>
            <w:vAlign w:val="center"/>
          </w:tcPr>
          <w:p w14:paraId="0C071883">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1399" w:type="dxa"/>
            <w:tcBorders>
              <w:left w:val="single" w:color="auto" w:sz="4" w:space="0"/>
              <w:right w:val="single" w:color="000000" w:sz="6" w:space="0"/>
            </w:tcBorders>
            <w:vAlign w:val="center"/>
          </w:tcPr>
          <w:p w14:paraId="605A7006">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2579" w:type="dxa"/>
            <w:tcBorders>
              <w:top w:val="single" w:color="000000" w:sz="6" w:space="0"/>
              <w:left w:val="single" w:color="000000" w:sz="6" w:space="0"/>
              <w:bottom w:val="single" w:color="000000" w:sz="6" w:space="0"/>
              <w:right w:val="single" w:color="000000" w:sz="6" w:space="0"/>
            </w:tcBorders>
            <w:vAlign w:val="center"/>
          </w:tcPr>
          <w:p w14:paraId="0737D75F">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3143" w:type="dxa"/>
            <w:tcBorders>
              <w:top w:val="single" w:color="000000" w:sz="6" w:space="0"/>
              <w:left w:val="single" w:color="000000" w:sz="6" w:space="0"/>
              <w:bottom w:val="single" w:color="000000" w:sz="6" w:space="0"/>
              <w:right w:val="single" w:color="000000" w:sz="6" w:space="0"/>
            </w:tcBorders>
            <w:vAlign w:val="center"/>
          </w:tcPr>
          <w:p w14:paraId="23062313">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429" w:type="dxa"/>
            <w:tcBorders>
              <w:top w:val="single" w:color="000000" w:sz="6" w:space="0"/>
              <w:left w:val="single" w:color="000000" w:sz="6" w:space="0"/>
              <w:bottom w:val="single" w:color="000000" w:sz="6" w:space="0"/>
              <w:right w:val="single" w:color="000000" w:sz="6" w:space="0"/>
            </w:tcBorders>
            <w:vAlign w:val="center"/>
          </w:tcPr>
          <w:p w14:paraId="42B2725A">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r w14:paraId="77DEE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jc w:val="center"/>
        </w:trPr>
        <w:tc>
          <w:tcPr>
            <w:tcW w:w="727" w:type="dxa"/>
            <w:tcBorders>
              <w:left w:val="single" w:color="000000" w:sz="6" w:space="0"/>
              <w:right w:val="single" w:color="auto" w:sz="4" w:space="0"/>
            </w:tcBorders>
            <w:vAlign w:val="center"/>
          </w:tcPr>
          <w:p w14:paraId="3E0EEEEA">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1399" w:type="dxa"/>
            <w:tcBorders>
              <w:left w:val="single" w:color="auto" w:sz="4" w:space="0"/>
              <w:right w:val="single" w:color="000000" w:sz="6" w:space="0"/>
            </w:tcBorders>
            <w:vAlign w:val="center"/>
          </w:tcPr>
          <w:p w14:paraId="3E9C218E">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2579" w:type="dxa"/>
            <w:tcBorders>
              <w:top w:val="single" w:color="000000" w:sz="6" w:space="0"/>
              <w:left w:val="single" w:color="000000" w:sz="6" w:space="0"/>
              <w:bottom w:val="single" w:color="000000" w:sz="6" w:space="0"/>
              <w:right w:val="single" w:color="000000" w:sz="6" w:space="0"/>
            </w:tcBorders>
            <w:vAlign w:val="center"/>
          </w:tcPr>
          <w:p w14:paraId="4045CEBE">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3143" w:type="dxa"/>
            <w:tcBorders>
              <w:top w:val="single" w:color="000000" w:sz="6" w:space="0"/>
              <w:left w:val="single" w:color="000000" w:sz="6" w:space="0"/>
              <w:bottom w:val="single" w:color="000000" w:sz="6" w:space="0"/>
              <w:right w:val="single" w:color="000000" w:sz="6" w:space="0"/>
            </w:tcBorders>
            <w:vAlign w:val="center"/>
          </w:tcPr>
          <w:p w14:paraId="461C691F">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429" w:type="dxa"/>
            <w:tcBorders>
              <w:top w:val="single" w:color="000000" w:sz="6" w:space="0"/>
              <w:left w:val="single" w:color="000000" w:sz="6" w:space="0"/>
              <w:bottom w:val="single" w:color="000000" w:sz="6" w:space="0"/>
              <w:right w:val="single" w:color="000000" w:sz="6" w:space="0"/>
            </w:tcBorders>
            <w:vAlign w:val="center"/>
          </w:tcPr>
          <w:p w14:paraId="56195175">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r w14:paraId="14FA5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jc w:val="center"/>
        </w:trPr>
        <w:tc>
          <w:tcPr>
            <w:tcW w:w="727" w:type="dxa"/>
            <w:tcBorders>
              <w:left w:val="single" w:color="000000" w:sz="6" w:space="0"/>
              <w:right w:val="single" w:color="auto" w:sz="4" w:space="0"/>
            </w:tcBorders>
            <w:vAlign w:val="center"/>
          </w:tcPr>
          <w:p w14:paraId="5396739C">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1399" w:type="dxa"/>
            <w:tcBorders>
              <w:left w:val="single" w:color="auto" w:sz="4" w:space="0"/>
              <w:right w:val="single" w:color="000000" w:sz="6" w:space="0"/>
            </w:tcBorders>
            <w:vAlign w:val="center"/>
          </w:tcPr>
          <w:p w14:paraId="663DC145">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2579" w:type="dxa"/>
            <w:tcBorders>
              <w:top w:val="single" w:color="000000" w:sz="6" w:space="0"/>
              <w:left w:val="single" w:color="000000" w:sz="6" w:space="0"/>
              <w:bottom w:val="single" w:color="000000" w:sz="6" w:space="0"/>
              <w:right w:val="single" w:color="000000" w:sz="6" w:space="0"/>
            </w:tcBorders>
            <w:vAlign w:val="center"/>
          </w:tcPr>
          <w:p w14:paraId="532D8138">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3143" w:type="dxa"/>
            <w:tcBorders>
              <w:top w:val="single" w:color="000000" w:sz="6" w:space="0"/>
              <w:left w:val="single" w:color="000000" w:sz="6" w:space="0"/>
              <w:bottom w:val="single" w:color="000000" w:sz="6" w:space="0"/>
              <w:right w:val="single" w:color="000000" w:sz="6" w:space="0"/>
            </w:tcBorders>
            <w:vAlign w:val="center"/>
          </w:tcPr>
          <w:p w14:paraId="74AD1499">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429" w:type="dxa"/>
            <w:tcBorders>
              <w:top w:val="single" w:color="000000" w:sz="6" w:space="0"/>
              <w:left w:val="single" w:color="000000" w:sz="6" w:space="0"/>
              <w:bottom w:val="single" w:color="000000" w:sz="6" w:space="0"/>
              <w:right w:val="single" w:color="000000" w:sz="6" w:space="0"/>
            </w:tcBorders>
            <w:vAlign w:val="center"/>
          </w:tcPr>
          <w:p w14:paraId="1C90A81B">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r w14:paraId="7451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atLeast"/>
          <w:jc w:val="center"/>
        </w:trPr>
        <w:tc>
          <w:tcPr>
            <w:tcW w:w="727" w:type="dxa"/>
            <w:tcBorders>
              <w:left w:val="single" w:color="000000" w:sz="6" w:space="0"/>
              <w:right w:val="single" w:color="auto" w:sz="4" w:space="0"/>
            </w:tcBorders>
            <w:vAlign w:val="center"/>
          </w:tcPr>
          <w:p w14:paraId="333A0356">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1399" w:type="dxa"/>
            <w:tcBorders>
              <w:left w:val="single" w:color="auto" w:sz="4" w:space="0"/>
              <w:right w:val="single" w:color="000000" w:sz="6" w:space="0"/>
            </w:tcBorders>
            <w:vAlign w:val="center"/>
          </w:tcPr>
          <w:p w14:paraId="2BBC21B9">
            <w:pPr>
              <w:keepNext w:val="0"/>
              <w:keepLines w:val="0"/>
              <w:pageBreakBefore w:val="0"/>
              <w:widowControl w:val="0"/>
              <w:kinsoku/>
              <w:wordWrap w:val="0"/>
              <w:overflowPunct/>
              <w:topLinePunct/>
              <w:autoSpaceDE/>
              <w:autoSpaceDN/>
              <w:bidi w:val="0"/>
              <w:adjustRightInd w:val="0"/>
              <w:snapToGrid w:val="0"/>
              <w:jc w:val="center"/>
              <w:rPr>
                <w:color w:val="auto"/>
                <w:kern w:val="0"/>
                <w:sz w:val="24"/>
                <w:highlight w:val="none"/>
              </w:rPr>
            </w:pPr>
          </w:p>
        </w:tc>
        <w:tc>
          <w:tcPr>
            <w:tcW w:w="2579" w:type="dxa"/>
            <w:tcBorders>
              <w:top w:val="single" w:color="000000" w:sz="6" w:space="0"/>
              <w:left w:val="single" w:color="000000" w:sz="6" w:space="0"/>
              <w:bottom w:val="single" w:color="000000" w:sz="6" w:space="0"/>
              <w:right w:val="single" w:color="000000" w:sz="6" w:space="0"/>
            </w:tcBorders>
            <w:vAlign w:val="center"/>
          </w:tcPr>
          <w:p w14:paraId="7BAD1FE5">
            <w:pPr>
              <w:keepNext w:val="0"/>
              <w:keepLines w:val="0"/>
              <w:pageBreakBefore w:val="0"/>
              <w:widowControl w:val="0"/>
              <w:kinsoku/>
              <w:wordWrap w:val="0"/>
              <w:overflowPunct/>
              <w:topLinePunct/>
              <w:autoSpaceDE/>
              <w:autoSpaceDN/>
              <w:bidi w:val="0"/>
              <w:adjustRightInd w:val="0"/>
              <w:snapToGrid w:val="0"/>
              <w:spacing w:line="360" w:lineRule="auto"/>
              <w:ind w:left="0" w:firstLine="0" w:firstLineChars="0"/>
              <w:rPr>
                <w:color w:val="auto"/>
                <w:kern w:val="0"/>
                <w:sz w:val="24"/>
                <w:highlight w:val="none"/>
              </w:rPr>
            </w:pPr>
          </w:p>
        </w:tc>
        <w:tc>
          <w:tcPr>
            <w:tcW w:w="3143" w:type="dxa"/>
            <w:tcBorders>
              <w:top w:val="single" w:color="000000" w:sz="6" w:space="0"/>
              <w:left w:val="single" w:color="000000" w:sz="6" w:space="0"/>
              <w:bottom w:val="single" w:color="000000" w:sz="6" w:space="0"/>
              <w:right w:val="single" w:color="000000" w:sz="6" w:space="0"/>
            </w:tcBorders>
            <w:vAlign w:val="center"/>
          </w:tcPr>
          <w:p w14:paraId="498BEB5D">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429" w:type="dxa"/>
            <w:tcBorders>
              <w:top w:val="single" w:color="000000" w:sz="6" w:space="0"/>
              <w:left w:val="single" w:color="000000" w:sz="6" w:space="0"/>
              <w:bottom w:val="single" w:color="000000" w:sz="6" w:space="0"/>
              <w:right w:val="single" w:color="000000" w:sz="6" w:space="0"/>
            </w:tcBorders>
            <w:vAlign w:val="center"/>
          </w:tcPr>
          <w:p w14:paraId="30B11557">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bl>
    <w:p w14:paraId="6CCA44F5">
      <w:pPr>
        <w:keepNext/>
        <w:topLinePunct/>
        <w:snapToGrid w:val="0"/>
        <w:spacing w:line="600" w:lineRule="exact"/>
        <w:ind w:firstLine="480"/>
        <w:jc w:val="left"/>
        <w:rPr>
          <w:rFonts w:hint="eastAsia" w:ascii="宋体" w:hAnsi="宋体" w:eastAsia="宋体" w:cs="宋体"/>
          <w:color w:val="auto"/>
          <w:kern w:val="0"/>
          <w:sz w:val="24"/>
          <w:highlight w:val="none"/>
        </w:rPr>
      </w:pPr>
    </w:p>
    <w:p w14:paraId="3F24A521">
      <w:pPr>
        <w:keepNext/>
        <w:tabs>
          <w:tab w:val="left" w:pos="4000"/>
        </w:tabs>
        <w:topLinePunct/>
        <w:snapToGrid w:val="0"/>
        <w:spacing w:line="480" w:lineRule="auto"/>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1A59F7F0">
      <w:pPr>
        <w:keepNext/>
        <w:tabs>
          <w:tab w:val="left" w:pos="3760"/>
        </w:tabs>
        <w:topLinePunct/>
        <w:snapToGrid w:val="0"/>
        <w:spacing w:line="480" w:lineRule="auto"/>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投标人授权代表：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76C879F7">
      <w:pPr>
        <w:keepNext/>
        <w:topLinePunct/>
        <w:snapToGrid w:val="0"/>
        <w:spacing w:line="48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23D9D415">
      <w:pPr>
        <w:keepNext/>
        <w:topLinePunct/>
        <w:adjustRightInd w:val="0"/>
        <w:snapToGrid w:val="0"/>
        <w:spacing w:line="360" w:lineRule="auto"/>
        <w:outlineLvl w:val="1"/>
        <w:rPr>
          <w:rFonts w:hint="eastAsia" w:ascii="宋体" w:hAnsi="宋体" w:eastAsia="宋体" w:cs="宋体"/>
          <w:bCs/>
          <w:color w:val="auto"/>
          <w:kern w:val="0"/>
          <w:sz w:val="24"/>
          <w:highlight w:val="none"/>
        </w:rPr>
      </w:pPr>
      <w:r>
        <w:rPr>
          <w:rFonts w:hint="eastAsia" w:ascii="宋体" w:hAnsi="宋体" w:eastAsia="宋体" w:cs="宋体"/>
          <w:b/>
          <w:color w:val="auto"/>
          <w:spacing w:val="20"/>
          <w:kern w:val="0"/>
          <w:sz w:val="28"/>
          <w:szCs w:val="28"/>
          <w:highlight w:val="none"/>
        </w:rPr>
        <w:br w:type="page"/>
      </w:r>
      <w:bookmarkStart w:id="78" w:name="_Toc180347492"/>
      <w:r>
        <w:rPr>
          <w:rFonts w:hint="eastAsia" w:ascii="宋体" w:hAnsi="宋体" w:eastAsia="宋体" w:cs="宋体"/>
          <w:b/>
          <w:color w:val="auto"/>
          <w:kern w:val="0"/>
          <w:sz w:val="24"/>
          <w:highlight w:val="none"/>
        </w:rPr>
        <w:t>7．采购货物主要技术指标和运行性能的详细描述或同投标货物型号一致的产品彩页</w:t>
      </w:r>
      <w:r>
        <w:rPr>
          <w:rFonts w:hint="eastAsia" w:ascii="宋体" w:hAnsi="宋体" w:eastAsia="宋体" w:cs="宋体"/>
          <w:bCs/>
          <w:color w:val="auto"/>
          <w:kern w:val="0"/>
          <w:sz w:val="24"/>
          <w:highlight w:val="none"/>
        </w:rPr>
        <w:t>（产品彩页须加盖投标人公章）</w:t>
      </w:r>
      <w:bookmarkEnd w:id="78"/>
    </w:p>
    <w:p w14:paraId="20E45254">
      <w:pPr>
        <w:keepNext/>
        <w:tabs>
          <w:tab w:val="left" w:pos="567"/>
        </w:tabs>
        <w:topLinePunct/>
        <w:snapToGrid w:val="0"/>
        <w:spacing w:line="360" w:lineRule="auto"/>
        <w:ind w:firstLine="482"/>
        <w:jc w:val="left"/>
        <w:rPr>
          <w:rFonts w:hint="eastAsia" w:ascii="宋体" w:hAnsi="宋体" w:eastAsia="宋体" w:cs="宋体"/>
          <w:b/>
          <w:color w:val="auto"/>
          <w:kern w:val="0"/>
          <w:sz w:val="24"/>
          <w:highlight w:val="none"/>
        </w:rPr>
      </w:pPr>
    </w:p>
    <w:p w14:paraId="1D5C6E5D">
      <w:pPr>
        <w:keepNext/>
        <w:topLinePunct/>
        <w:spacing w:line="330" w:lineRule="atLeast"/>
        <w:ind w:firstLine="482"/>
        <w:jc w:val="left"/>
        <w:rPr>
          <w:rFonts w:hint="eastAsia" w:ascii="宋体" w:hAnsi="宋体" w:eastAsia="宋体" w:cs="宋体"/>
          <w:b/>
          <w:color w:val="auto"/>
          <w:kern w:val="0"/>
          <w:sz w:val="24"/>
          <w:szCs w:val="21"/>
          <w:highlight w:val="none"/>
        </w:rPr>
      </w:pPr>
    </w:p>
    <w:p w14:paraId="19D56708">
      <w:pPr>
        <w:keepNext/>
        <w:topLinePunct/>
        <w:spacing w:line="330" w:lineRule="atLeast"/>
        <w:ind w:firstLine="482"/>
        <w:jc w:val="left"/>
        <w:rPr>
          <w:rFonts w:hint="eastAsia" w:ascii="宋体" w:hAnsi="宋体" w:eastAsia="宋体" w:cs="宋体"/>
          <w:b/>
          <w:color w:val="auto"/>
          <w:kern w:val="0"/>
          <w:sz w:val="24"/>
          <w:szCs w:val="21"/>
          <w:highlight w:val="none"/>
        </w:rPr>
      </w:pPr>
    </w:p>
    <w:p w14:paraId="2CF940A0">
      <w:pPr>
        <w:keepNext/>
        <w:topLinePunct/>
        <w:spacing w:line="330" w:lineRule="atLeast"/>
        <w:ind w:firstLine="482"/>
        <w:jc w:val="left"/>
        <w:rPr>
          <w:rFonts w:hint="eastAsia" w:ascii="宋体" w:hAnsi="宋体" w:eastAsia="宋体" w:cs="宋体"/>
          <w:b/>
          <w:color w:val="auto"/>
          <w:kern w:val="0"/>
          <w:sz w:val="24"/>
          <w:szCs w:val="21"/>
          <w:highlight w:val="none"/>
        </w:rPr>
      </w:pPr>
    </w:p>
    <w:p w14:paraId="04B4681D">
      <w:pPr>
        <w:keepNext/>
        <w:tabs>
          <w:tab w:val="left" w:pos="567"/>
        </w:tabs>
        <w:topLinePunct/>
        <w:snapToGrid w:val="0"/>
        <w:spacing w:line="360" w:lineRule="auto"/>
        <w:ind w:firstLine="482"/>
        <w:jc w:val="left"/>
        <w:rPr>
          <w:rFonts w:hint="eastAsia" w:ascii="宋体" w:hAnsi="宋体" w:eastAsia="宋体" w:cs="宋体"/>
          <w:b/>
          <w:color w:val="auto"/>
          <w:kern w:val="0"/>
          <w:sz w:val="24"/>
          <w:highlight w:val="none"/>
        </w:rPr>
      </w:pPr>
    </w:p>
    <w:p w14:paraId="732952B1">
      <w:pPr>
        <w:keepNext/>
        <w:topLinePunct/>
        <w:adjustRightInd w:val="0"/>
        <w:snapToGrid w:val="0"/>
        <w:spacing w:line="360" w:lineRule="auto"/>
        <w:outlineLvl w:val="2"/>
        <w:rPr>
          <w:rFonts w:hint="eastAsia" w:ascii="宋体" w:hAnsi="宋体" w:eastAsia="宋体" w:cs="宋体"/>
          <w:b/>
          <w:color w:val="auto"/>
          <w:kern w:val="0"/>
          <w:sz w:val="24"/>
          <w:highlight w:val="none"/>
        </w:rPr>
      </w:pPr>
      <w:bookmarkStart w:id="79" w:name="_Toc180347493"/>
      <w:r>
        <w:rPr>
          <w:rFonts w:hint="eastAsia" w:ascii="宋体" w:hAnsi="宋体" w:eastAsia="宋体" w:cs="宋体"/>
          <w:b/>
          <w:color w:val="auto"/>
          <w:kern w:val="0"/>
          <w:sz w:val="24"/>
          <w:highlight w:val="none"/>
        </w:rPr>
        <w:t>8．投标文件提交截止时间前三年内同类项目合同案例列表及相关证明资料</w:t>
      </w:r>
      <w:bookmarkEnd w:id="79"/>
    </w:p>
    <w:p w14:paraId="1E3A1418">
      <w:pPr>
        <w:keepNext/>
        <w:topLinePunct/>
        <w:spacing w:line="480" w:lineRule="exact"/>
        <w:ind w:firstLine="482"/>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24"/>
          <w:highlight w:val="none"/>
        </w:rPr>
        <w:t>投标文件提交截止时间前三年内同类项目合同案例列表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5AE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BA74E4E">
            <w:pPr>
              <w:keepNext/>
              <w:topLinePunc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使用单位</w:t>
            </w:r>
          </w:p>
        </w:tc>
        <w:tc>
          <w:tcPr>
            <w:tcW w:w="1560" w:type="dxa"/>
          </w:tcPr>
          <w:p w14:paraId="0528769D">
            <w:pPr>
              <w:keepNext/>
              <w:topLinePunc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076" w:type="dxa"/>
          </w:tcPr>
          <w:p w14:paraId="62629D35">
            <w:pPr>
              <w:keepNext/>
              <w:topLinePunc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431" w:type="dxa"/>
          </w:tcPr>
          <w:p w14:paraId="5FD2E143">
            <w:pPr>
              <w:keepNext/>
              <w:topLinePunc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10" w:type="dxa"/>
          </w:tcPr>
          <w:p w14:paraId="16962B78">
            <w:pPr>
              <w:keepNext/>
              <w:topLinePunc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839" w:type="dxa"/>
          </w:tcPr>
          <w:p w14:paraId="079679CC">
            <w:pPr>
              <w:keepNext/>
              <w:topLinePunct/>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397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6446310">
            <w:pPr>
              <w:keepNext/>
              <w:topLinePunct/>
              <w:adjustRightInd w:val="0"/>
              <w:snapToGrid w:val="0"/>
              <w:rPr>
                <w:rFonts w:hint="eastAsia" w:ascii="宋体" w:hAnsi="宋体" w:eastAsia="宋体" w:cs="宋体"/>
                <w:color w:val="auto"/>
                <w:sz w:val="24"/>
                <w:highlight w:val="none"/>
              </w:rPr>
            </w:pPr>
          </w:p>
        </w:tc>
        <w:tc>
          <w:tcPr>
            <w:tcW w:w="1560" w:type="dxa"/>
          </w:tcPr>
          <w:p w14:paraId="5D5081F7">
            <w:pPr>
              <w:keepNext/>
              <w:topLinePunct/>
              <w:adjustRightInd w:val="0"/>
              <w:snapToGrid w:val="0"/>
              <w:rPr>
                <w:rFonts w:hint="eastAsia" w:ascii="宋体" w:hAnsi="宋体" w:eastAsia="宋体" w:cs="宋体"/>
                <w:color w:val="auto"/>
                <w:sz w:val="24"/>
                <w:highlight w:val="none"/>
              </w:rPr>
            </w:pPr>
          </w:p>
        </w:tc>
        <w:tc>
          <w:tcPr>
            <w:tcW w:w="2076" w:type="dxa"/>
          </w:tcPr>
          <w:p w14:paraId="2204A976">
            <w:pPr>
              <w:keepNext/>
              <w:topLinePunct/>
              <w:adjustRightInd w:val="0"/>
              <w:snapToGrid w:val="0"/>
              <w:rPr>
                <w:rFonts w:hint="eastAsia" w:ascii="宋体" w:hAnsi="宋体" w:eastAsia="宋体" w:cs="宋体"/>
                <w:color w:val="auto"/>
                <w:sz w:val="24"/>
                <w:highlight w:val="none"/>
              </w:rPr>
            </w:pPr>
          </w:p>
        </w:tc>
        <w:tc>
          <w:tcPr>
            <w:tcW w:w="1431" w:type="dxa"/>
          </w:tcPr>
          <w:p w14:paraId="69C9AB41">
            <w:pPr>
              <w:keepNext/>
              <w:topLinePunct/>
              <w:adjustRightInd w:val="0"/>
              <w:snapToGrid w:val="0"/>
              <w:rPr>
                <w:rFonts w:hint="eastAsia" w:ascii="宋体" w:hAnsi="宋体" w:eastAsia="宋体" w:cs="宋体"/>
                <w:color w:val="auto"/>
                <w:sz w:val="24"/>
                <w:highlight w:val="none"/>
              </w:rPr>
            </w:pPr>
          </w:p>
        </w:tc>
        <w:tc>
          <w:tcPr>
            <w:tcW w:w="1610" w:type="dxa"/>
          </w:tcPr>
          <w:p w14:paraId="4FF2D631">
            <w:pPr>
              <w:keepNext/>
              <w:topLinePunct/>
              <w:adjustRightInd w:val="0"/>
              <w:snapToGrid w:val="0"/>
              <w:rPr>
                <w:rFonts w:hint="eastAsia" w:ascii="宋体" w:hAnsi="宋体" w:eastAsia="宋体" w:cs="宋体"/>
                <w:color w:val="auto"/>
                <w:sz w:val="24"/>
                <w:highlight w:val="none"/>
              </w:rPr>
            </w:pPr>
          </w:p>
        </w:tc>
        <w:tc>
          <w:tcPr>
            <w:tcW w:w="839" w:type="dxa"/>
          </w:tcPr>
          <w:p w14:paraId="3D75EF6C">
            <w:pPr>
              <w:keepNext/>
              <w:topLinePunct/>
              <w:adjustRightInd w:val="0"/>
              <w:snapToGrid w:val="0"/>
              <w:rPr>
                <w:rFonts w:hint="eastAsia" w:ascii="宋体" w:hAnsi="宋体" w:eastAsia="宋体" w:cs="宋体"/>
                <w:color w:val="auto"/>
                <w:sz w:val="24"/>
                <w:highlight w:val="none"/>
              </w:rPr>
            </w:pPr>
          </w:p>
        </w:tc>
      </w:tr>
      <w:tr w14:paraId="1EE0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5331ED3">
            <w:pPr>
              <w:keepNext/>
              <w:topLinePunct/>
              <w:adjustRightInd w:val="0"/>
              <w:snapToGrid w:val="0"/>
              <w:rPr>
                <w:rFonts w:hint="eastAsia" w:ascii="宋体" w:hAnsi="宋体" w:eastAsia="宋体" w:cs="宋体"/>
                <w:color w:val="auto"/>
                <w:sz w:val="24"/>
                <w:highlight w:val="none"/>
              </w:rPr>
            </w:pPr>
          </w:p>
        </w:tc>
        <w:tc>
          <w:tcPr>
            <w:tcW w:w="1560" w:type="dxa"/>
          </w:tcPr>
          <w:p w14:paraId="6A5D9EEA">
            <w:pPr>
              <w:keepNext/>
              <w:topLinePunct/>
              <w:adjustRightInd w:val="0"/>
              <w:snapToGrid w:val="0"/>
              <w:rPr>
                <w:rFonts w:hint="eastAsia" w:ascii="宋体" w:hAnsi="宋体" w:eastAsia="宋体" w:cs="宋体"/>
                <w:color w:val="auto"/>
                <w:sz w:val="24"/>
                <w:highlight w:val="none"/>
              </w:rPr>
            </w:pPr>
          </w:p>
        </w:tc>
        <w:tc>
          <w:tcPr>
            <w:tcW w:w="2076" w:type="dxa"/>
          </w:tcPr>
          <w:p w14:paraId="2ECA878F">
            <w:pPr>
              <w:keepNext/>
              <w:topLinePunct/>
              <w:adjustRightInd w:val="0"/>
              <w:snapToGrid w:val="0"/>
              <w:rPr>
                <w:rFonts w:hint="eastAsia" w:ascii="宋体" w:hAnsi="宋体" w:eastAsia="宋体" w:cs="宋体"/>
                <w:color w:val="auto"/>
                <w:sz w:val="24"/>
                <w:highlight w:val="none"/>
              </w:rPr>
            </w:pPr>
          </w:p>
        </w:tc>
        <w:tc>
          <w:tcPr>
            <w:tcW w:w="1431" w:type="dxa"/>
          </w:tcPr>
          <w:p w14:paraId="2C3E3B05">
            <w:pPr>
              <w:keepNext/>
              <w:topLinePunct/>
              <w:adjustRightInd w:val="0"/>
              <w:snapToGrid w:val="0"/>
              <w:rPr>
                <w:rFonts w:hint="eastAsia" w:ascii="宋体" w:hAnsi="宋体" w:eastAsia="宋体" w:cs="宋体"/>
                <w:color w:val="auto"/>
                <w:sz w:val="24"/>
                <w:highlight w:val="none"/>
              </w:rPr>
            </w:pPr>
          </w:p>
        </w:tc>
        <w:tc>
          <w:tcPr>
            <w:tcW w:w="1610" w:type="dxa"/>
          </w:tcPr>
          <w:p w14:paraId="04ED0AB9">
            <w:pPr>
              <w:keepNext/>
              <w:topLinePunct/>
              <w:adjustRightInd w:val="0"/>
              <w:snapToGrid w:val="0"/>
              <w:rPr>
                <w:rFonts w:hint="eastAsia" w:ascii="宋体" w:hAnsi="宋体" w:eastAsia="宋体" w:cs="宋体"/>
                <w:color w:val="auto"/>
                <w:sz w:val="24"/>
                <w:highlight w:val="none"/>
              </w:rPr>
            </w:pPr>
          </w:p>
        </w:tc>
        <w:tc>
          <w:tcPr>
            <w:tcW w:w="839" w:type="dxa"/>
          </w:tcPr>
          <w:p w14:paraId="1B746415">
            <w:pPr>
              <w:keepNext/>
              <w:topLinePunct/>
              <w:adjustRightInd w:val="0"/>
              <w:snapToGrid w:val="0"/>
              <w:rPr>
                <w:rFonts w:hint="eastAsia" w:ascii="宋体" w:hAnsi="宋体" w:eastAsia="宋体" w:cs="宋体"/>
                <w:color w:val="auto"/>
                <w:sz w:val="24"/>
                <w:highlight w:val="none"/>
              </w:rPr>
            </w:pPr>
          </w:p>
        </w:tc>
      </w:tr>
      <w:tr w14:paraId="10F6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0DC37D55">
            <w:pPr>
              <w:keepNext/>
              <w:topLinePunct/>
              <w:adjustRightInd w:val="0"/>
              <w:snapToGrid w:val="0"/>
              <w:rPr>
                <w:rFonts w:hint="eastAsia" w:ascii="宋体" w:hAnsi="宋体" w:eastAsia="宋体" w:cs="宋体"/>
                <w:color w:val="auto"/>
                <w:sz w:val="24"/>
                <w:highlight w:val="none"/>
              </w:rPr>
            </w:pPr>
          </w:p>
        </w:tc>
        <w:tc>
          <w:tcPr>
            <w:tcW w:w="1560" w:type="dxa"/>
          </w:tcPr>
          <w:p w14:paraId="00669654">
            <w:pPr>
              <w:keepNext/>
              <w:topLinePunct/>
              <w:adjustRightInd w:val="0"/>
              <w:snapToGrid w:val="0"/>
              <w:rPr>
                <w:rFonts w:hint="eastAsia" w:ascii="宋体" w:hAnsi="宋体" w:eastAsia="宋体" w:cs="宋体"/>
                <w:color w:val="auto"/>
                <w:sz w:val="24"/>
                <w:highlight w:val="none"/>
              </w:rPr>
            </w:pPr>
          </w:p>
        </w:tc>
        <w:tc>
          <w:tcPr>
            <w:tcW w:w="2076" w:type="dxa"/>
          </w:tcPr>
          <w:p w14:paraId="24C0B2BA">
            <w:pPr>
              <w:keepNext/>
              <w:topLinePunct/>
              <w:adjustRightInd w:val="0"/>
              <w:snapToGrid w:val="0"/>
              <w:rPr>
                <w:rFonts w:hint="eastAsia" w:ascii="宋体" w:hAnsi="宋体" w:eastAsia="宋体" w:cs="宋体"/>
                <w:color w:val="auto"/>
                <w:sz w:val="24"/>
                <w:highlight w:val="none"/>
              </w:rPr>
            </w:pPr>
          </w:p>
        </w:tc>
        <w:tc>
          <w:tcPr>
            <w:tcW w:w="1431" w:type="dxa"/>
          </w:tcPr>
          <w:p w14:paraId="3D5DA425">
            <w:pPr>
              <w:keepNext/>
              <w:topLinePunct/>
              <w:adjustRightInd w:val="0"/>
              <w:snapToGrid w:val="0"/>
              <w:rPr>
                <w:rFonts w:hint="eastAsia" w:ascii="宋体" w:hAnsi="宋体" w:eastAsia="宋体" w:cs="宋体"/>
                <w:color w:val="auto"/>
                <w:sz w:val="24"/>
                <w:highlight w:val="none"/>
              </w:rPr>
            </w:pPr>
          </w:p>
        </w:tc>
        <w:tc>
          <w:tcPr>
            <w:tcW w:w="1610" w:type="dxa"/>
          </w:tcPr>
          <w:p w14:paraId="324310B3">
            <w:pPr>
              <w:keepNext/>
              <w:topLinePunct/>
              <w:adjustRightInd w:val="0"/>
              <w:snapToGrid w:val="0"/>
              <w:rPr>
                <w:rFonts w:hint="eastAsia" w:ascii="宋体" w:hAnsi="宋体" w:eastAsia="宋体" w:cs="宋体"/>
                <w:color w:val="auto"/>
                <w:sz w:val="24"/>
                <w:highlight w:val="none"/>
              </w:rPr>
            </w:pPr>
          </w:p>
        </w:tc>
        <w:tc>
          <w:tcPr>
            <w:tcW w:w="839" w:type="dxa"/>
          </w:tcPr>
          <w:p w14:paraId="351736C1">
            <w:pPr>
              <w:keepNext/>
              <w:topLinePunct/>
              <w:adjustRightInd w:val="0"/>
              <w:snapToGrid w:val="0"/>
              <w:rPr>
                <w:rFonts w:hint="eastAsia" w:ascii="宋体" w:hAnsi="宋体" w:eastAsia="宋体" w:cs="宋体"/>
                <w:color w:val="auto"/>
                <w:sz w:val="24"/>
                <w:highlight w:val="none"/>
              </w:rPr>
            </w:pPr>
          </w:p>
        </w:tc>
      </w:tr>
      <w:tr w14:paraId="41B1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685289D2">
            <w:pPr>
              <w:keepNext/>
              <w:topLinePunct/>
              <w:adjustRightInd w:val="0"/>
              <w:snapToGrid w:val="0"/>
              <w:rPr>
                <w:rFonts w:hint="eastAsia" w:ascii="宋体" w:hAnsi="宋体" w:eastAsia="宋体" w:cs="宋体"/>
                <w:color w:val="auto"/>
                <w:sz w:val="24"/>
                <w:highlight w:val="none"/>
              </w:rPr>
            </w:pPr>
          </w:p>
        </w:tc>
        <w:tc>
          <w:tcPr>
            <w:tcW w:w="1560" w:type="dxa"/>
          </w:tcPr>
          <w:p w14:paraId="301C6E98">
            <w:pPr>
              <w:keepNext/>
              <w:topLinePunct/>
              <w:adjustRightInd w:val="0"/>
              <w:snapToGrid w:val="0"/>
              <w:rPr>
                <w:rFonts w:hint="eastAsia" w:ascii="宋体" w:hAnsi="宋体" w:eastAsia="宋体" w:cs="宋体"/>
                <w:color w:val="auto"/>
                <w:sz w:val="24"/>
                <w:highlight w:val="none"/>
              </w:rPr>
            </w:pPr>
          </w:p>
        </w:tc>
        <w:tc>
          <w:tcPr>
            <w:tcW w:w="2076" w:type="dxa"/>
          </w:tcPr>
          <w:p w14:paraId="4EDD0D91">
            <w:pPr>
              <w:keepNext/>
              <w:topLinePunct/>
              <w:adjustRightInd w:val="0"/>
              <w:snapToGrid w:val="0"/>
              <w:rPr>
                <w:rFonts w:hint="eastAsia" w:ascii="宋体" w:hAnsi="宋体" w:eastAsia="宋体" w:cs="宋体"/>
                <w:color w:val="auto"/>
                <w:sz w:val="24"/>
                <w:highlight w:val="none"/>
              </w:rPr>
            </w:pPr>
          </w:p>
        </w:tc>
        <w:tc>
          <w:tcPr>
            <w:tcW w:w="1431" w:type="dxa"/>
          </w:tcPr>
          <w:p w14:paraId="4D7BF36A">
            <w:pPr>
              <w:keepNext/>
              <w:topLinePunct/>
              <w:adjustRightInd w:val="0"/>
              <w:snapToGrid w:val="0"/>
              <w:rPr>
                <w:rFonts w:hint="eastAsia" w:ascii="宋体" w:hAnsi="宋体" w:eastAsia="宋体" w:cs="宋体"/>
                <w:color w:val="auto"/>
                <w:sz w:val="24"/>
                <w:highlight w:val="none"/>
              </w:rPr>
            </w:pPr>
          </w:p>
        </w:tc>
        <w:tc>
          <w:tcPr>
            <w:tcW w:w="1610" w:type="dxa"/>
          </w:tcPr>
          <w:p w14:paraId="08AFDFA2">
            <w:pPr>
              <w:keepNext/>
              <w:topLinePunct/>
              <w:adjustRightInd w:val="0"/>
              <w:snapToGrid w:val="0"/>
              <w:rPr>
                <w:rFonts w:hint="eastAsia" w:ascii="宋体" w:hAnsi="宋体" w:eastAsia="宋体" w:cs="宋体"/>
                <w:color w:val="auto"/>
                <w:sz w:val="24"/>
                <w:highlight w:val="none"/>
              </w:rPr>
            </w:pPr>
          </w:p>
        </w:tc>
        <w:tc>
          <w:tcPr>
            <w:tcW w:w="839" w:type="dxa"/>
          </w:tcPr>
          <w:p w14:paraId="5180F748">
            <w:pPr>
              <w:keepNext/>
              <w:topLinePunct/>
              <w:adjustRightInd w:val="0"/>
              <w:snapToGrid w:val="0"/>
              <w:rPr>
                <w:rFonts w:hint="eastAsia" w:ascii="宋体" w:hAnsi="宋体" w:eastAsia="宋体" w:cs="宋体"/>
                <w:color w:val="auto"/>
                <w:sz w:val="24"/>
                <w:highlight w:val="none"/>
              </w:rPr>
            </w:pPr>
          </w:p>
        </w:tc>
      </w:tr>
      <w:tr w14:paraId="560F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1243799C">
            <w:pPr>
              <w:keepNext/>
              <w:topLinePunct/>
              <w:adjustRightInd w:val="0"/>
              <w:snapToGrid w:val="0"/>
              <w:rPr>
                <w:rFonts w:hint="eastAsia" w:ascii="宋体" w:hAnsi="宋体" w:eastAsia="宋体" w:cs="宋体"/>
                <w:color w:val="auto"/>
                <w:sz w:val="24"/>
                <w:highlight w:val="none"/>
              </w:rPr>
            </w:pPr>
          </w:p>
        </w:tc>
        <w:tc>
          <w:tcPr>
            <w:tcW w:w="1560" w:type="dxa"/>
          </w:tcPr>
          <w:p w14:paraId="42E1ECDA">
            <w:pPr>
              <w:keepNext/>
              <w:topLinePunct/>
              <w:adjustRightInd w:val="0"/>
              <w:snapToGrid w:val="0"/>
              <w:rPr>
                <w:rFonts w:hint="eastAsia" w:ascii="宋体" w:hAnsi="宋体" w:eastAsia="宋体" w:cs="宋体"/>
                <w:color w:val="auto"/>
                <w:sz w:val="24"/>
                <w:highlight w:val="none"/>
              </w:rPr>
            </w:pPr>
          </w:p>
        </w:tc>
        <w:tc>
          <w:tcPr>
            <w:tcW w:w="2076" w:type="dxa"/>
          </w:tcPr>
          <w:p w14:paraId="33EF70A0">
            <w:pPr>
              <w:keepNext/>
              <w:topLinePunct/>
              <w:adjustRightInd w:val="0"/>
              <w:snapToGrid w:val="0"/>
              <w:rPr>
                <w:rFonts w:hint="eastAsia" w:ascii="宋体" w:hAnsi="宋体" w:eastAsia="宋体" w:cs="宋体"/>
                <w:color w:val="auto"/>
                <w:sz w:val="24"/>
                <w:highlight w:val="none"/>
              </w:rPr>
            </w:pPr>
          </w:p>
        </w:tc>
        <w:tc>
          <w:tcPr>
            <w:tcW w:w="1431" w:type="dxa"/>
          </w:tcPr>
          <w:p w14:paraId="6B8556D2">
            <w:pPr>
              <w:keepNext/>
              <w:topLinePunct/>
              <w:adjustRightInd w:val="0"/>
              <w:snapToGrid w:val="0"/>
              <w:rPr>
                <w:rFonts w:hint="eastAsia" w:ascii="宋体" w:hAnsi="宋体" w:eastAsia="宋体" w:cs="宋体"/>
                <w:color w:val="auto"/>
                <w:sz w:val="24"/>
                <w:highlight w:val="none"/>
              </w:rPr>
            </w:pPr>
          </w:p>
        </w:tc>
        <w:tc>
          <w:tcPr>
            <w:tcW w:w="1610" w:type="dxa"/>
          </w:tcPr>
          <w:p w14:paraId="0381436B">
            <w:pPr>
              <w:keepNext/>
              <w:topLinePunct/>
              <w:adjustRightInd w:val="0"/>
              <w:snapToGrid w:val="0"/>
              <w:rPr>
                <w:rFonts w:hint="eastAsia" w:ascii="宋体" w:hAnsi="宋体" w:eastAsia="宋体" w:cs="宋体"/>
                <w:color w:val="auto"/>
                <w:sz w:val="24"/>
                <w:highlight w:val="none"/>
              </w:rPr>
            </w:pPr>
          </w:p>
        </w:tc>
        <w:tc>
          <w:tcPr>
            <w:tcW w:w="839" w:type="dxa"/>
          </w:tcPr>
          <w:p w14:paraId="11936A30">
            <w:pPr>
              <w:keepNext/>
              <w:topLinePunct/>
              <w:adjustRightInd w:val="0"/>
              <w:snapToGrid w:val="0"/>
              <w:rPr>
                <w:rFonts w:hint="eastAsia" w:ascii="宋体" w:hAnsi="宋体" w:eastAsia="宋体" w:cs="宋体"/>
                <w:color w:val="auto"/>
                <w:sz w:val="24"/>
                <w:highlight w:val="none"/>
              </w:rPr>
            </w:pPr>
          </w:p>
        </w:tc>
      </w:tr>
      <w:tr w14:paraId="2A91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7F69865F">
            <w:pPr>
              <w:keepNext/>
              <w:topLinePunct/>
              <w:adjustRightInd w:val="0"/>
              <w:snapToGrid w:val="0"/>
              <w:rPr>
                <w:rFonts w:hint="eastAsia" w:ascii="宋体" w:hAnsi="宋体" w:eastAsia="宋体" w:cs="宋体"/>
                <w:color w:val="auto"/>
                <w:sz w:val="24"/>
                <w:highlight w:val="none"/>
              </w:rPr>
            </w:pPr>
          </w:p>
        </w:tc>
        <w:tc>
          <w:tcPr>
            <w:tcW w:w="1560" w:type="dxa"/>
          </w:tcPr>
          <w:p w14:paraId="41DFDCAE">
            <w:pPr>
              <w:keepNext/>
              <w:topLinePunct/>
              <w:adjustRightInd w:val="0"/>
              <w:snapToGrid w:val="0"/>
              <w:rPr>
                <w:rFonts w:hint="eastAsia" w:ascii="宋体" w:hAnsi="宋体" w:eastAsia="宋体" w:cs="宋体"/>
                <w:color w:val="auto"/>
                <w:sz w:val="24"/>
                <w:highlight w:val="none"/>
              </w:rPr>
            </w:pPr>
          </w:p>
        </w:tc>
        <w:tc>
          <w:tcPr>
            <w:tcW w:w="2076" w:type="dxa"/>
          </w:tcPr>
          <w:p w14:paraId="332E0867">
            <w:pPr>
              <w:keepNext/>
              <w:topLinePunct/>
              <w:adjustRightInd w:val="0"/>
              <w:snapToGrid w:val="0"/>
              <w:rPr>
                <w:rFonts w:hint="eastAsia" w:ascii="宋体" w:hAnsi="宋体" w:eastAsia="宋体" w:cs="宋体"/>
                <w:color w:val="auto"/>
                <w:sz w:val="24"/>
                <w:highlight w:val="none"/>
              </w:rPr>
            </w:pPr>
          </w:p>
        </w:tc>
        <w:tc>
          <w:tcPr>
            <w:tcW w:w="1431" w:type="dxa"/>
          </w:tcPr>
          <w:p w14:paraId="619F5E48">
            <w:pPr>
              <w:keepNext/>
              <w:topLinePunct/>
              <w:adjustRightInd w:val="0"/>
              <w:snapToGrid w:val="0"/>
              <w:rPr>
                <w:rFonts w:hint="eastAsia" w:ascii="宋体" w:hAnsi="宋体" w:eastAsia="宋体" w:cs="宋体"/>
                <w:color w:val="auto"/>
                <w:sz w:val="24"/>
                <w:highlight w:val="none"/>
              </w:rPr>
            </w:pPr>
          </w:p>
        </w:tc>
        <w:tc>
          <w:tcPr>
            <w:tcW w:w="1610" w:type="dxa"/>
          </w:tcPr>
          <w:p w14:paraId="4CE203FE">
            <w:pPr>
              <w:keepNext/>
              <w:topLinePunct/>
              <w:adjustRightInd w:val="0"/>
              <w:snapToGrid w:val="0"/>
              <w:rPr>
                <w:rFonts w:hint="eastAsia" w:ascii="宋体" w:hAnsi="宋体" w:eastAsia="宋体" w:cs="宋体"/>
                <w:color w:val="auto"/>
                <w:sz w:val="24"/>
                <w:highlight w:val="none"/>
              </w:rPr>
            </w:pPr>
          </w:p>
        </w:tc>
        <w:tc>
          <w:tcPr>
            <w:tcW w:w="839" w:type="dxa"/>
          </w:tcPr>
          <w:p w14:paraId="334D7B04">
            <w:pPr>
              <w:keepNext/>
              <w:topLinePunct/>
              <w:adjustRightInd w:val="0"/>
              <w:snapToGrid w:val="0"/>
              <w:rPr>
                <w:rFonts w:hint="eastAsia" w:ascii="宋体" w:hAnsi="宋体" w:eastAsia="宋体" w:cs="宋体"/>
                <w:color w:val="auto"/>
                <w:sz w:val="24"/>
                <w:highlight w:val="none"/>
              </w:rPr>
            </w:pPr>
          </w:p>
        </w:tc>
      </w:tr>
    </w:tbl>
    <w:p w14:paraId="101BE17A">
      <w:pPr>
        <w:keepNext/>
        <w:topLinePunct/>
        <w:snapToGrid w:val="0"/>
        <w:spacing w:line="480" w:lineRule="exact"/>
        <w:ind w:firstLine="542" w:firstLineChars="226"/>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备注： </w:t>
      </w:r>
    </w:p>
    <w:p w14:paraId="7AA987A3">
      <w:pPr>
        <w:keepNext/>
        <w:topLinePunct/>
        <w:snapToGrid w:val="0"/>
        <w:spacing w:line="480" w:lineRule="exact"/>
        <w:ind w:firstLine="542" w:firstLineChars="226"/>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合同复印件或影印件证明材料至少包含：合同首页、合同金额所在页、签字盖章页（需加盖投标人公章）。</w:t>
      </w:r>
    </w:p>
    <w:p w14:paraId="386402C4">
      <w:pPr>
        <w:keepNext/>
        <w:topLinePunct/>
        <w:snapToGrid w:val="0"/>
        <w:spacing w:line="480" w:lineRule="exact"/>
        <w:ind w:firstLine="542" w:firstLineChars="226"/>
        <w:jc w:val="center"/>
        <w:rPr>
          <w:rFonts w:hint="eastAsia" w:ascii="宋体" w:hAnsi="宋体" w:eastAsia="宋体" w:cs="宋体"/>
          <w:color w:val="auto"/>
          <w:sz w:val="24"/>
          <w:highlight w:val="none"/>
        </w:rPr>
      </w:pPr>
    </w:p>
    <w:p w14:paraId="27EEC004">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bCs/>
          <w:color w:val="auto"/>
          <w:sz w:val="24"/>
          <w:highlight w:val="none"/>
        </w:rPr>
        <w:br w:type="page"/>
      </w:r>
      <w:bookmarkStart w:id="80" w:name="_Toc180347494"/>
      <w:r>
        <w:rPr>
          <w:rFonts w:hint="eastAsia" w:ascii="宋体" w:hAnsi="宋体" w:eastAsia="宋体" w:cs="宋体"/>
          <w:b/>
          <w:color w:val="auto"/>
          <w:kern w:val="0"/>
          <w:sz w:val="24"/>
          <w:highlight w:val="none"/>
        </w:rPr>
        <w:t>9．企业信誉证明材料；（格式自拟，复印件或影印件加盖投标人公章）</w:t>
      </w:r>
      <w:bookmarkEnd w:id="80"/>
    </w:p>
    <w:p w14:paraId="1D166B3C">
      <w:pPr>
        <w:keepNext/>
        <w:topLinePunct/>
        <w:spacing w:line="360" w:lineRule="auto"/>
        <w:ind w:firstLine="482"/>
        <w:jc w:val="left"/>
        <w:rPr>
          <w:rFonts w:hint="eastAsia" w:ascii="宋体" w:hAnsi="宋体" w:eastAsia="宋体" w:cs="宋体"/>
          <w:b/>
          <w:bCs/>
          <w:color w:val="auto"/>
          <w:kern w:val="0"/>
          <w:sz w:val="24"/>
          <w:highlight w:val="none"/>
        </w:rPr>
      </w:pPr>
    </w:p>
    <w:p w14:paraId="7C94849D">
      <w:pPr>
        <w:keepNext/>
        <w:topLinePunct/>
        <w:spacing w:line="360" w:lineRule="auto"/>
        <w:ind w:firstLine="482"/>
        <w:jc w:val="left"/>
        <w:rPr>
          <w:rFonts w:hint="eastAsia" w:ascii="宋体" w:hAnsi="宋体" w:eastAsia="宋体" w:cs="宋体"/>
          <w:b/>
          <w:bCs/>
          <w:color w:val="auto"/>
          <w:kern w:val="0"/>
          <w:sz w:val="24"/>
          <w:highlight w:val="none"/>
        </w:rPr>
      </w:pPr>
    </w:p>
    <w:p w14:paraId="28F699EA">
      <w:pPr>
        <w:keepNext/>
        <w:topLinePunct/>
        <w:spacing w:line="360" w:lineRule="auto"/>
        <w:ind w:firstLine="482"/>
        <w:jc w:val="left"/>
        <w:rPr>
          <w:rFonts w:hint="eastAsia" w:ascii="宋体" w:hAnsi="宋体" w:eastAsia="宋体" w:cs="宋体"/>
          <w:b/>
          <w:bCs/>
          <w:color w:val="auto"/>
          <w:kern w:val="0"/>
          <w:sz w:val="24"/>
          <w:highlight w:val="none"/>
        </w:rPr>
      </w:pPr>
    </w:p>
    <w:p w14:paraId="2B6BA873">
      <w:pPr>
        <w:keepNext/>
        <w:topLinePunct/>
        <w:adjustRightInd w:val="0"/>
        <w:snapToGrid w:val="0"/>
        <w:spacing w:line="360" w:lineRule="auto"/>
        <w:outlineLvl w:val="2"/>
        <w:rPr>
          <w:rFonts w:hint="eastAsia" w:ascii="宋体" w:hAnsi="宋体" w:eastAsia="宋体" w:cs="宋体"/>
          <w:b/>
          <w:color w:val="auto"/>
          <w:kern w:val="0"/>
          <w:sz w:val="24"/>
          <w:highlight w:val="none"/>
        </w:rPr>
      </w:pPr>
      <w:bookmarkStart w:id="81" w:name="_Toc180347495"/>
      <w:r>
        <w:rPr>
          <w:rFonts w:hint="eastAsia" w:ascii="宋体" w:hAnsi="宋体" w:eastAsia="宋体" w:cs="宋体"/>
          <w:b/>
          <w:color w:val="auto"/>
          <w:kern w:val="0"/>
          <w:sz w:val="24"/>
          <w:highlight w:val="none"/>
        </w:rPr>
        <w:t>10．团队组成；（格式自拟，复印件或影印件加盖投标人公章）</w:t>
      </w:r>
      <w:bookmarkEnd w:id="81"/>
    </w:p>
    <w:p w14:paraId="49908067">
      <w:pPr>
        <w:keepNext/>
        <w:topLinePunct/>
        <w:spacing w:line="420" w:lineRule="exact"/>
        <w:ind w:firstLine="482"/>
        <w:rPr>
          <w:rFonts w:hint="eastAsia" w:ascii="宋体" w:hAnsi="宋体" w:eastAsia="宋体" w:cs="宋体"/>
          <w:b/>
          <w:bCs/>
          <w:color w:val="auto"/>
          <w:sz w:val="24"/>
          <w:highlight w:val="none"/>
        </w:rPr>
      </w:pPr>
    </w:p>
    <w:p w14:paraId="1C9EB07C">
      <w:pPr>
        <w:keepNext/>
        <w:topLinePunct/>
        <w:spacing w:line="420" w:lineRule="exact"/>
        <w:ind w:firstLine="482"/>
        <w:rPr>
          <w:rFonts w:hint="eastAsia" w:ascii="宋体" w:hAnsi="宋体" w:eastAsia="宋体" w:cs="宋体"/>
          <w:b/>
          <w:bCs/>
          <w:color w:val="auto"/>
          <w:sz w:val="24"/>
          <w:highlight w:val="none"/>
        </w:rPr>
      </w:pPr>
    </w:p>
    <w:p w14:paraId="64B1E742">
      <w:pPr>
        <w:keepNext/>
        <w:topLinePunct/>
        <w:spacing w:line="330" w:lineRule="atLeast"/>
        <w:ind w:firstLine="480"/>
        <w:jc w:val="left"/>
        <w:rPr>
          <w:rFonts w:hint="eastAsia" w:ascii="宋体" w:hAnsi="宋体" w:eastAsia="宋体" w:cs="宋体"/>
          <w:color w:val="auto"/>
          <w:kern w:val="0"/>
          <w:sz w:val="24"/>
          <w:highlight w:val="none"/>
        </w:rPr>
      </w:pPr>
    </w:p>
    <w:p w14:paraId="62018307">
      <w:pPr>
        <w:keepNext/>
        <w:topLinePunct/>
        <w:spacing w:line="420" w:lineRule="exact"/>
        <w:ind w:firstLine="482"/>
        <w:rPr>
          <w:rFonts w:hint="eastAsia" w:ascii="宋体" w:hAnsi="宋体" w:eastAsia="宋体" w:cs="宋体"/>
          <w:b/>
          <w:bCs/>
          <w:color w:val="auto"/>
          <w:sz w:val="24"/>
          <w:highlight w:val="none"/>
        </w:rPr>
      </w:pPr>
    </w:p>
    <w:p w14:paraId="6D88AE58">
      <w:pPr>
        <w:keepNext/>
        <w:topLinePunct/>
        <w:adjustRightInd w:val="0"/>
        <w:snapToGrid w:val="0"/>
        <w:spacing w:line="360" w:lineRule="auto"/>
        <w:outlineLvl w:val="2"/>
        <w:rPr>
          <w:rFonts w:hint="eastAsia" w:ascii="宋体" w:hAnsi="宋体" w:eastAsia="宋体" w:cs="宋体"/>
          <w:b/>
          <w:color w:val="auto"/>
          <w:kern w:val="0"/>
          <w:sz w:val="24"/>
          <w:highlight w:val="none"/>
        </w:rPr>
      </w:pPr>
      <w:bookmarkStart w:id="82" w:name="_Toc180347496"/>
      <w:r>
        <w:rPr>
          <w:rFonts w:hint="eastAsia" w:ascii="宋体" w:hAnsi="宋体" w:eastAsia="宋体" w:cs="宋体"/>
          <w:b/>
          <w:color w:val="auto"/>
          <w:kern w:val="0"/>
          <w:sz w:val="24"/>
          <w:highlight w:val="none"/>
        </w:rPr>
        <w:t>11．投标人配套服务方案与承诺（格式自拟）</w:t>
      </w:r>
      <w:bookmarkEnd w:id="82"/>
    </w:p>
    <w:p w14:paraId="27FCA131">
      <w:pPr>
        <w:keepNext/>
        <w:topLinePunct/>
        <w:spacing w:line="420" w:lineRule="exact"/>
        <w:ind w:firstLine="482"/>
        <w:rPr>
          <w:rFonts w:hint="eastAsia" w:ascii="宋体" w:hAnsi="宋体" w:eastAsia="宋体" w:cs="宋体"/>
          <w:b/>
          <w:bCs/>
          <w:color w:val="auto"/>
          <w:sz w:val="24"/>
          <w:highlight w:val="none"/>
        </w:rPr>
      </w:pPr>
    </w:p>
    <w:p w14:paraId="3F71504F">
      <w:pPr>
        <w:keepNext/>
        <w:topLinePunct/>
        <w:spacing w:line="420" w:lineRule="exact"/>
        <w:ind w:firstLine="482"/>
        <w:rPr>
          <w:rFonts w:hint="eastAsia" w:ascii="宋体" w:hAnsi="宋体" w:eastAsia="宋体" w:cs="宋体"/>
          <w:b/>
          <w:bCs/>
          <w:color w:val="auto"/>
          <w:sz w:val="24"/>
          <w:highlight w:val="none"/>
        </w:rPr>
      </w:pPr>
    </w:p>
    <w:p w14:paraId="59D16941">
      <w:pPr>
        <w:keepNext/>
        <w:topLinePunct/>
        <w:spacing w:line="420" w:lineRule="exact"/>
        <w:rPr>
          <w:rFonts w:hint="eastAsia" w:ascii="宋体" w:hAnsi="宋体" w:eastAsia="宋体" w:cs="宋体"/>
          <w:b/>
          <w:bCs/>
          <w:color w:val="auto"/>
          <w:sz w:val="24"/>
          <w:highlight w:val="none"/>
        </w:rPr>
      </w:pPr>
    </w:p>
    <w:p w14:paraId="39DF54FB">
      <w:pPr>
        <w:keepNext/>
        <w:topLinePunct/>
        <w:ind w:left="420" w:leftChars="200" w:firstLine="482"/>
        <w:rPr>
          <w:rFonts w:hint="eastAsia" w:ascii="宋体" w:hAnsi="宋体" w:eastAsia="宋体" w:cs="宋体"/>
          <w:b/>
          <w:bCs/>
          <w:color w:val="auto"/>
          <w:sz w:val="24"/>
          <w:highlight w:val="none"/>
        </w:rPr>
      </w:pPr>
    </w:p>
    <w:p w14:paraId="59A3CB18">
      <w:pPr>
        <w:keepNext/>
        <w:topLinePunct/>
        <w:adjustRightInd w:val="0"/>
        <w:snapToGrid w:val="0"/>
        <w:spacing w:line="360" w:lineRule="auto"/>
        <w:outlineLvl w:val="2"/>
        <w:rPr>
          <w:rFonts w:hint="eastAsia" w:ascii="宋体" w:hAnsi="宋体" w:eastAsia="宋体" w:cs="宋体"/>
          <w:b/>
          <w:color w:val="auto"/>
          <w:kern w:val="0"/>
          <w:sz w:val="24"/>
          <w:highlight w:val="none"/>
        </w:rPr>
      </w:pPr>
      <w:bookmarkStart w:id="83" w:name="_Toc180347498"/>
      <w:r>
        <w:rPr>
          <w:rFonts w:hint="eastAsia" w:ascii="宋体" w:hAnsi="宋体" w:eastAsia="宋体" w:cs="宋体"/>
          <w:b/>
          <w:color w:val="auto"/>
          <w:kern w:val="0"/>
          <w:sz w:val="24"/>
          <w:highlight w:val="none"/>
        </w:rPr>
        <w:t>1</w:t>
      </w:r>
      <w:r>
        <w:rPr>
          <w:rFonts w:hint="eastAsia" w:ascii="宋体" w:hAnsi="宋体" w:cs="宋体"/>
          <w:b/>
          <w:color w:val="auto"/>
          <w:kern w:val="0"/>
          <w:sz w:val="24"/>
          <w:highlight w:val="none"/>
          <w:lang w:val="en-US" w:eastAsia="zh-CN"/>
        </w:rPr>
        <w:t>2</w:t>
      </w:r>
      <w:r>
        <w:rPr>
          <w:rFonts w:hint="eastAsia" w:ascii="宋体" w:hAnsi="宋体" w:eastAsia="宋体" w:cs="宋体"/>
          <w:b/>
          <w:color w:val="auto"/>
          <w:kern w:val="0"/>
          <w:sz w:val="24"/>
          <w:highlight w:val="none"/>
        </w:rPr>
        <w:t>．实施时间进度表（格式自拟）；</w:t>
      </w:r>
      <w:bookmarkEnd w:id="83"/>
    </w:p>
    <w:p w14:paraId="659C2A2A">
      <w:pPr>
        <w:keepNext/>
        <w:topLinePunct/>
        <w:spacing w:line="360" w:lineRule="auto"/>
        <w:ind w:firstLine="482"/>
        <w:rPr>
          <w:rFonts w:hint="eastAsia" w:ascii="宋体" w:hAnsi="宋体" w:eastAsia="宋体" w:cs="宋体"/>
          <w:b/>
          <w:bCs/>
          <w:color w:val="auto"/>
          <w:sz w:val="24"/>
          <w:highlight w:val="none"/>
        </w:rPr>
      </w:pPr>
    </w:p>
    <w:p w14:paraId="08EBCB06">
      <w:pPr>
        <w:keepNext/>
        <w:topLinePunct/>
        <w:spacing w:line="360" w:lineRule="auto"/>
        <w:ind w:firstLine="480"/>
        <w:rPr>
          <w:rFonts w:hint="eastAsia" w:ascii="宋体" w:hAnsi="宋体" w:eastAsia="宋体" w:cs="宋体"/>
          <w:color w:val="auto"/>
          <w:sz w:val="24"/>
          <w:highlight w:val="none"/>
        </w:rPr>
      </w:pPr>
    </w:p>
    <w:p w14:paraId="0A82D0CB">
      <w:pPr>
        <w:keepNext/>
        <w:topLinePunct/>
        <w:spacing w:line="330" w:lineRule="atLeast"/>
        <w:ind w:firstLine="480"/>
        <w:jc w:val="left"/>
        <w:rPr>
          <w:rFonts w:hint="eastAsia" w:ascii="宋体" w:hAnsi="宋体" w:eastAsia="宋体" w:cs="宋体"/>
          <w:color w:val="auto"/>
          <w:kern w:val="0"/>
          <w:sz w:val="24"/>
          <w:highlight w:val="none"/>
        </w:rPr>
      </w:pPr>
    </w:p>
    <w:p w14:paraId="0482DE2D">
      <w:pPr>
        <w:keepNext/>
        <w:topLinePunct/>
        <w:adjustRightInd w:val="0"/>
        <w:snapToGrid w:val="0"/>
        <w:spacing w:line="360" w:lineRule="auto"/>
        <w:outlineLvl w:val="2"/>
        <w:rPr>
          <w:rFonts w:hint="eastAsia" w:ascii="宋体" w:hAnsi="宋体" w:eastAsia="宋体" w:cs="宋体"/>
          <w:b/>
          <w:color w:val="auto"/>
          <w:kern w:val="0"/>
          <w:sz w:val="24"/>
          <w:highlight w:val="none"/>
        </w:rPr>
      </w:pPr>
      <w:bookmarkStart w:id="84" w:name="_Toc180347499"/>
      <w:r>
        <w:rPr>
          <w:rFonts w:hint="eastAsia" w:ascii="宋体" w:hAnsi="宋体" w:eastAsia="宋体" w:cs="宋体"/>
          <w:b/>
          <w:color w:val="auto"/>
          <w:kern w:val="0"/>
          <w:sz w:val="24"/>
          <w:highlight w:val="none"/>
        </w:rPr>
        <w:t>1</w:t>
      </w: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rPr>
        <w:t>．投标人认为需要提供的其他商务、技术材料。</w:t>
      </w:r>
      <w:bookmarkEnd w:id="84"/>
    </w:p>
    <w:p w14:paraId="55A91871">
      <w:pPr>
        <w:keepNext/>
        <w:topLinePunct/>
        <w:adjustRightInd w:val="0"/>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bCs/>
          <w:color w:val="auto"/>
          <w:sz w:val="24"/>
          <w:highlight w:val="none"/>
        </w:rPr>
        <w:br w:type="page"/>
      </w:r>
      <w:bookmarkStart w:id="85" w:name="_Toc180347500"/>
      <w:r>
        <w:rPr>
          <w:rFonts w:hint="eastAsia" w:ascii="宋体" w:hAnsi="宋体" w:eastAsia="宋体" w:cs="宋体"/>
          <w:b/>
          <w:color w:val="auto"/>
          <w:kern w:val="0"/>
          <w:sz w:val="24"/>
          <w:highlight w:val="none"/>
        </w:rPr>
        <w:t>1</w:t>
      </w:r>
      <w:r>
        <w:rPr>
          <w:rFonts w:hint="eastAsia" w:ascii="宋体" w:hAnsi="宋体" w:cs="宋体"/>
          <w:b/>
          <w:color w:val="auto"/>
          <w:kern w:val="0"/>
          <w:sz w:val="24"/>
          <w:highlight w:val="none"/>
          <w:lang w:val="en-US" w:eastAsia="zh-CN"/>
        </w:rPr>
        <w:t>4</w:t>
      </w:r>
      <w:r>
        <w:rPr>
          <w:rFonts w:hint="eastAsia" w:ascii="宋体" w:hAnsi="宋体" w:eastAsia="宋体" w:cs="宋体"/>
          <w:b/>
          <w:color w:val="auto"/>
          <w:kern w:val="0"/>
          <w:sz w:val="24"/>
          <w:highlight w:val="none"/>
        </w:rPr>
        <w:t>．政府采购政策性要求证明材料</w:t>
      </w:r>
      <w:bookmarkEnd w:id="85"/>
    </w:p>
    <w:p w14:paraId="07C9B282">
      <w:pPr>
        <w:keepNext/>
        <w:tabs>
          <w:tab w:val="left" w:pos="1680"/>
        </w:tabs>
        <w:topLinePunct/>
        <w:adjustRightInd w:val="0"/>
        <w:snapToGrid w:val="0"/>
        <w:spacing w:line="360" w:lineRule="auto"/>
        <w:ind w:firstLine="482"/>
        <w:outlineLvl w:val="3"/>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（一）</w:t>
      </w:r>
      <w:r>
        <w:rPr>
          <w:rFonts w:hint="eastAsia" w:ascii="宋体" w:hAnsi="宋体" w:eastAsia="宋体" w:cs="宋体"/>
          <w:b/>
          <w:color w:val="auto"/>
          <w:sz w:val="24"/>
          <w:highlight w:val="none"/>
        </w:rPr>
        <w:t>环保节能产品证明材料</w:t>
      </w:r>
      <w:r>
        <w:rPr>
          <w:rFonts w:hint="eastAsia" w:ascii="宋体" w:hAnsi="宋体" w:eastAsia="宋体" w:cs="宋体"/>
          <w:b/>
          <w:color w:val="auto"/>
          <w:kern w:val="0"/>
          <w:sz w:val="24"/>
          <w:highlight w:val="none"/>
        </w:rPr>
        <w:t>（如不涉及，此函可不提供）</w:t>
      </w:r>
    </w:p>
    <w:p w14:paraId="1B1A0805">
      <w:pPr>
        <w:keepNext/>
        <w:tabs>
          <w:tab w:val="left" w:pos="1680"/>
        </w:tabs>
        <w:topLinePunct/>
        <w:snapToGrid w:val="0"/>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（1）强制节能产品</w:t>
      </w:r>
    </w:p>
    <w:p w14:paraId="1B76B0EB">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35"/>
        <w:gridCol w:w="1008"/>
        <w:gridCol w:w="1287"/>
        <w:gridCol w:w="1478"/>
        <w:gridCol w:w="1556"/>
        <w:gridCol w:w="1683"/>
      </w:tblGrid>
      <w:tr w14:paraId="0975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5C38744E">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35" w:type="dxa"/>
            <w:vAlign w:val="center"/>
          </w:tcPr>
          <w:p w14:paraId="46BFB92B">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1008" w:type="dxa"/>
            <w:vAlign w:val="center"/>
          </w:tcPr>
          <w:p w14:paraId="7D161E45">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287" w:type="dxa"/>
            <w:vAlign w:val="center"/>
          </w:tcPr>
          <w:p w14:paraId="4011317B">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478" w:type="dxa"/>
            <w:vAlign w:val="center"/>
          </w:tcPr>
          <w:p w14:paraId="39C7C1BC">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556" w:type="dxa"/>
            <w:vAlign w:val="center"/>
          </w:tcPr>
          <w:p w14:paraId="18A58FD6">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683" w:type="dxa"/>
            <w:vAlign w:val="center"/>
          </w:tcPr>
          <w:p w14:paraId="500E69DC">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认证机构名录</w:t>
            </w:r>
          </w:p>
        </w:tc>
      </w:tr>
      <w:tr w14:paraId="53A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06A1322B">
            <w:pPr>
              <w:keepNext/>
              <w:topLinePunct/>
              <w:adjustRightInd w:val="0"/>
              <w:snapToGrid w:val="0"/>
              <w:rPr>
                <w:rFonts w:hint="eastAsia" w:ascii="宋体" w:hAnsi="宋体" w:eastAsia="宋体" w:cs="宋体"/>
                <w:b/>
                <w:color w:val="auto"/>
                <w:sz w:val="24"/>
                <w:highlight w:val="none"/>
              </w:rPr>
            </w:pPr>
          </w:p>
        </w:tc>
        <w:tc>
          <w:tcPr>
            <w:tcW w:w="1035" w:type="dxa"/>
          </w:tcPr>
          <w:p w14:paraId="3CBE05B5">
            <w:pPr>
              <w:keepNext/>
              <w:topLinePunct/>
              <w:adjustRightInd w:val="0"/>
              <w:snapToGrid w:val="0"/>
              <w:rPr>
                <w:rFonts w:hint="eastAsia" w:ascii="宋体" w:hAnsi="宋体" w:eastAsia="宋体" w:cs="宋体"/>
                <w:b/>
                <w:color w:val="auto"/>
                <w:sz w:val="24"/>
                <w:highlight w:val="none"/>
              </w:rPr>
            </w:pPr>
          </w:p>
        </w:tc>
        <w:tc>
          <w:tcPr>
            <w:tcW w:w="1008" w:type="dxa"/>
          </w:tcPr>
          <w:p w14:paraId="7F06FEE8">
            <w:pPr>
              <w:keepNext/>
              <w:topLinePunct/>
              <w:adjustRightInd w:val="0"/>
              <w:snapToGrid w:val="0"/>
              <w:rPr>
                <w:rFonts w:hint="eastAsia" w:ascii="宋体" w:hAnsi="宋体" w:eastAsia="宋体" w:cs="宋体"/>
                <w:b/>
                <w:color w:val="auto"/>
                <w:sz w:val="24"/>
                <w:highlight w:val="none"/>
              </w:rPr>
            </w:pPr>
          </w:p>
        </w:tc>
        <w:tc>
          <w:tcPr>
            <w:tcW w:w="1287" w:type="dxa"/>
          </w:tcPr>
          <w:p w14:paraId="69BF2EEB">
            <w:pPr>
              <w:keepNext/>
              <w:topLinePunct/>
              <w:adjustRightInd w:val="0"/>
              <w:snapToGrid w:val="0"/>
              <w:rPr>
                <w:rFonts w:hint="eastAsia" w:ascii="宋体" w:hAnsi="宋体" w:eastAsia="宋体" w:cs="宋体"/>
                <w:b/>
                <w:color w:val="auto"/>
                <w:sz w:val="24"/>
                <w:highlight w:val="none"/>
              </w:rPr>
            </w:pPr>
          </w:p>
        </w:tc>
        <w:tc>
          <w:tcPr>
            <w:tcW w:w="1478" w:type="dxa"/>
          </w:tcPr>
          <w:p w14:paraId="4C0E8B8D">
            <w:pPr>
              <w:keepNext/>
              <w:topLinePunct/>
              <w:adjustRightInd w:val="0"/>
              <w:snapToGrid w:val="0"/>
              <w:rPr>
                <w:rFonts w:hint="eastAsia" w:ascii="宋体" w:hAnsi="宋体" w:eastAsia="宋体" w:cs="宋体"/>
                <w:b/>
                <w:color w:val="auto"/>
                <w:sz w:val="24"/>
                <w:highlight w:val="none"/>
              </w:rPr>
            </w:pPr>
          </w:p>
        </w:tc>
        <w:tc>
          <w:tcPr>
            <w:tcW w:w="1556" w:type="dxa"/>
          </w:tcPr>
          <w:p w14:paraId="3AD60355">
            <w:pPr>
              <w:keepNext/>
              <w:topLinePunct/>
              <w:adjustRightInd w:val="0"/>
              <w:snapToGrid w:val="0"/>
              <w:rPr>
                <w:rFonts w:hint="eastAsia" w:ascii="宋体" w:hAnsi="宋体" w:eastAsia="宋体" w:cs="宋体"/>
                <w:b/>
                <w:color w:val="auto"/>
                <w:sz w:val="24"/>
                <w:highlight w:val="none"/>
              </w:rPr>
            </w:pPr>
          </w:p>
        </w:tc>
        <w:tc>
          <w:tcPr>
            <w:tcW w:w="1683" w:type="dxa"/>
          </w:tcPr>
          <w:p w14:paraId="1FB5CAA8">
            <w:pPr>
              <w:keepNext/>
              <w:topLinePunct/>
              <w:adjustRightInd w:val="0"/>
              <w:snapToGrid w:val="0"/>
              <w:rPr>
                <w:rFonts w:hint="eastAsia" w:ascii="宋体" w:hAnsi="宋体" w:eastAsia="宋体" w:cs="宋体"/>
                <w:b/>
                <w:color w:val="auto"/>
                <w:sz w:val="24"/>
                <w:highlight w:val="none"/>
              </w:rPr>
            </w:pPr>
          </w:p>
        </w:tc>
      </w:tr>
      <w:tr w14:paraId="39D4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2C05B7C8">
            <w:pPr>
              <w:keepNext/>
              <w:topLinePunct/>
              <w:adjustRightInd w:val="0"/>
              <w:snapToGrid w:val="0"/>
              <w:rPr>
                <w:rFonts w:hint="eastAsia" w:ascii="宋体" w:hAnsi="宋体" w:eastAsia="宋体" w:cs="宋体"/>
                <w:b/>
                <w:color w:val="auto"/>
                <w:sz w:val="24"/>
                <w:highlight w:val="none"/>
              </w:rPr>
            </w:pPr>
          </w:p>
        </w:tc>
        <w:tc>
          <w:tcPr>
            <w:tcW w:w="1035" w:type="dxa"/>
          </w:tcPr>
          <w:p w14:paraId="0F3075F0">
            <w:pPr>
              <w:keepNext/>
              <w:topLinePunct/>
              <w:adjustRightInd w:val="0"/>
              <w:snapToGrid w:val="0"/>
              <w:rPr>
                <w:rFonts w:hint="eastAsia" w:ascii="宋体" w:hAnsi="宋体" w:eastAsia="宋体" w:cs="宋体"/>
                <w:b/>
                <w:color w:val="auto"/>
                <w:sz w:val="24"/>
                <w:highlight w:val="none"/>
              </w:rPr>
            </w:pPr>
          </w:p>
        </w:tc>
        <w:tc>
          <w:tcPr>
            <w:tcW w:w="1008" w:type="dxa"/>
          </w:tcPr>
          <w:p w14:paraId="6365A445">
            <w:pPr>
              <w:keepNext/>
              <w:topLinePunct/>
              <w:adjustRightInd w:val="0"/>
              <w:snapToGrid w:val="0"/>
              <w:rPr>
                <w:rFonts w:hint="eastAsia" w:ascii="宋体" w:hAnsi="宋体" w:eastAsia="宋体" w:cs="宋体"/>
                <w:b/>
                <w:color w:val="auto"/>
                <w:sz w:val="24"/>
                <w:highlight w:val="none"/>
              </w:rPr>
            </w:pPr>
          </w:p>
        </w:tc>
        <w:tc>
          <w:tcPr>
            <w:tcW w:w="1287" w:type="dxa"/>
          </w:tcPr>
          <w:p w14:paraId="46570518">
            <w:pPr>
              <w:keepNext/>
              <w:topLinePunct/>
              <w:adjustRightInd w:val="0"/>
              <w:snapToGrid w:val="0"/>
              <w:rPr>
                <w:rFonts w:hint="eastAsia" w:ascii="宋体" w:hAnsi="宋体" w:eastAsia="宋体" w:cs="宋体"/>
                <w:b/>
                <w:color w:val="auto"/>
                <w:sz w:val="24"/>
                <w:highlight w:val="none"/>
              </w:rPr>
            </w:pPr>
          </w:p>
        </w:tc>
        <w:tc>
          <w:tcPr>
            <w:tcW w:w="1478" w:type="dxa"/>
          </w:tcPr>
          <w:p w14:paraId="5014438D">
            <w:pPr>
              <w:keepNext/>
              <w:topLinePunct/>
              <w:adjustRightInd w:val="0"/>
              <w:snapToGrid w:val="0"/>
              <w:rPr>
                <w:rFonts w:hint="eastAsia" w:ascii="宋体" w:hAnsi="宋体" w:eastAsia="宋体" w:cs="宋体"/>
                <w:b/>
                <w:color w:val="auto"/>
                <w:sz w:val="24"/>
                <w:highlight w:val="none"/>
              </w:rPr>
            </w:pPr>
          </w:p>
        </w:tc>
        <w:tc>
          <w:tcPr>
            <w:tcW w:w="1556" w:type="dxa"/>
          </w:tcPr>
          <w:p w14:paraId="3E82FAC0">
            <w:pPr>
              <w:keepNext/>
              <w:topLinePunct/>
              <w:adjustRightInd w:val="0"/>
              <w:snapToGrid w:val="0"/>
              <w:rPr>
                <w:rFonts w:hint="eastAsia" w:ascii="宋体" w:hAnsi="宋体" w:eastAsia="宋体" w:cs="宋体"/>
                <w:b/>
                <w:color w:val="auto"/>
                <w:sz w:val="24"/>
                <w:highlight w:val="none"/>
              </w:rPr>
            </w:pPr>
          </w:p>
        </w:tc>
        <w:tc>
          <w:tcPr>
            <w:tcW w:w="1683" w:type="dxa"/>
          </w:tcPr>
          <w:p w14:paraId="467A3B9D">
            <w:pPr>
              <w:keepNext/>
              <w:topLinePunct/>
              <w:adjustRightInd w:val="0"/>
              <w:snapToGrid w:val="0"/>
              <w:rPr>
                <w:rFonts w:hint="eastAsia" w:ascii="宋体" w:hAnsi="宋体" w:eastAsia="宋体" w:cs="宋体"/>
                <w:b/>
                <w:color w:val="auto"/>
                <w:sz w:val="24"/>
                <w:highlight w:val="none"/>
              </w:rPr>
            </w:pPr>
          </w:p>
        </w:tc>
      </w:tr>
      <w:tr w14:paraId="2A01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7" w:type="dxa"/>
          </w:tcPr>
          <w:p w14:paraId="3EB269DD">
            <w:pPr>
              <w:keepNext/>
              <w:topLinePunct/>
              <w:adjustRightInd w:val="0"/>
              <w:snapToGrid w:val="0"/>
              <w:rPr>
                <w:rFonts w:hint="eastAsia" w:ascii="宋体" w:hAnsi="宋体" w:eastAsia="宋体" w:cs="宋体"/>
                <w:b/>
                <w:color w:val="auto"/>
                <w:sz w:val="24"/>
                <w:highlight w:val="none"/>
              </w:rPr>
            </w:pPr>
          </w:p>
        </w:tc>
        <w:tc>
          <w:tcPr>
            <w:tcW w:w="1035" w:type="dxa"/>
          </w:tcPr>
          <w:p w14:paraId="24A0AC06">
            <w:pPr>
              <w:keepNext/>
              <w:topLinePunct/>
              <w:adjustRightInd w:val="0"/>
              <w:snapToGrid w:val="0"/>
              <w:rPr>
                <w:rFonts w:hint="eastAsia" w:ascii="宋体" w:hAnsi="宋体" w:eastAsia="宋体" w:cs="宋体"/>
                <w:b/>
                <w:color w:val="auto"/>
                <w:sz w:val="24"/>
                <w:highlight w:val="none"/>
              </w:rPr>
            </w:pPr>
          </w:p>
        </w:tc>
        <w:tc>
          <w:tcPr>
            <w:tcW w:w="1008" w:type="dxa"/>
          </w:tcPr>
          <w:p w14:paraId="48B9F5A5">
            <w:pPr>
              <w:keepNext/>
              <w:topLinePunct/>
              <w:adjustRightInd w:val="0"/>
              <w:snapToGrid w:val="0"/>
              <w:rPr>
                <w:rFonts w:hint="eastAsia" w:ascii="宋体" w:hAnsi="宋体" w:eastAsia="宋体" w:cs="宋体"/>
                <w:b/>
                <w:color w:val="auto"/>
                <w:sz w:val="24"/>
                <w:highlight w:val="none"/>
              </w:rPr>
            </w:pPr>
          </w:p>
        </w:tc>
        <w:tc>
          <w:tcPr>
            <w:tcW w:w="1287" w:type="dxa"/>
          </w:tcPr>
          <w:p w14:paraId="69CD487B">
            <w:pPr>
              <w:keepNext/>
              <w:topLinePunct/>
              <w:adjustRightInd w:val="0"/>
              <w:snapToGrid w:val="0"/>
              <w:rPr>
                <w:rFonts w:hint="eastAsia" w:ascii="宋体" w:hAnsi="宋体" w:eastAsia="宋体" w:cs="宋体"/>
                <w:b/>
                <w:color w:val="auto"/>
                <w:sz w:val="24"/>
                <w:highlight w:val="none"/>
              </w:rPr>
            </w:pPr>
          </w:p>
        </w:tc>
        <w:tc>
          <w:tcPr>
            <w:tcW w:w="1478" w:type="dxa"/>
          </w:tcPr>
          <w:p w14:paraId="6B4E2E7B">
            <w:pPr>
              <w:keepNext/>
              <w:topLinePunct/>
              <w:adjustRightInd w:val="0"/>
              <w:snapToGrid w:val="0"/>
              <w:rPr>
                <w:rFonts w:hint="eastAsia" w:ascii="宋体" w:hAnsi="宋体" w:eastAsia="宋体" w:cs="宋体"/>
                <w:b/>
                <w:color w:val="auto"/>
                <w:sz w:val="24"/>
                <w:highlight w:val="none"/>
              </w:rPr>
            </w:pPr>
          </w:p>
        </w:tc>
        <w:tc>
          <w:tcPr>
            <w:tcW w:w="1556" w:type="dxa"/>
          </w:tcPr>
          <w:p w14:paraId="5DDE2D92">
            <w:pPr>
              <w:keepNext/>
              <w:topLinePunct/>
              <w:adjustRightInd w:val="0"/>
              <w:snapToGrid w:val="0"/>
              <w:rPr>
                <w:rFonts w:hint="eastAsia" w:ascii="宋体" w:hAnsi="宋体" w:eastAsia="宋体" w:cs="宋体"/>
                <w:b/>
                <w:color w:val="auto"/>
                <w:sz w:val="24"/>
                <w:highlight w:val="none"/>
              </w:rPr>
            </w:pPr>
          </w:p>
        </w:tc>
        <w:tc>
          <w:tcPr>
            <w:tcW w:w="1683" w:type="dxa"/>
          </w:tcPr>
          <w:p w14:paraId="400F4069">
            <w:pPr>
              <w:keepNext/>
              <w:topLinePunct/>
              <w:adjustRightInd w:val="0"/>
              <w:snapToGrid w:val="0"/>
              <w:rPr>
                <w:rFonts w:hint="eastAsia" w:ascii="宋体" w:hAnsi="宋体" w:eastAsia="宋体" w:cs="宋体"/>
                <w:b/>
                <w:color w:val="auto"/>
                <w:sz w:val="24"/>
                <w:highlight w:val="none"/>
              </w:rPr>
            </w:pPr>
          </w:p>
        </w:tc>
      </w:tr>
    </w:tbl>
    <w:p w14:paraId="20EAC511">
      <w:pPr>
        <w:keepNext/>
        <w:tabs>
          <w:tab w:val="left" w:pos="1680"/>
        </w:tabs>
        <w:topLinePunct/>
        <w:adjustRightInd w:val="0"/>
        <w:snapToGrid w:val="0"/>
        <w:rPr>
          <w:rFonts w:hint="eastAsia" w:ascii="宋体" w:hAnsi="宋体" w:eastAsia="宋体" w:cs="宋体"/>
          <w:bCs/>
          <w:color w:val="auto"/>
          <w:sz w:val="24"/>
          <w:highlight w:val="none"/>
        </w:rPr>
      </w:pPr>
    </w:p>
    <w:p w14:paraId="4B6535F3">
      <w:pPr>
        <w:keepNext/>
        <w:topLinePunct/>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w:t>
      </w:r>
    </w:p>
    <w:p w14:paraId="55063F42">
      <w:pPr>
        <w:keepNext/>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1.如采购项目（包）或报价货物中包含</w:t>
      </w:r>
      <w:r>
        <w:rPr>
          <w:rFonts w:hint="eastAsia" w:ascii="宋体" w:hAnsi="宋体" w:eastAsia="宋体" w:cs="宋体"/>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388D43FD">
      <w:pPr>
        <w:keepNext/>
        <w:tabs>
          <w:tab w:val="left" w:pos="1680"/>
        </w:tabs>
        <w:topLinePunct/>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2.以包为单位分别填写，如本项目（包）或报价货物中不涉及强制节能产品，可不提供此表。</w:t>
      </w:r>
    </w:p>
    <w:p w14:paraId="27B8ECED">
      <w:pPr>
        <w:keepNext/>
        <w:tabs>
          <w:tab w:val="left" w:pos="1680"/>
        </w:tabs>
        <w:topLinePunct/>
        <w:snapToGrid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采购货物中如含国家互联网信息办公室会同工业和信息化部、公安部、国家认证认可监督管理委员会等部门</w:t>
      </w:r>
      <w:r>
        <w:rPr>
          <w:rFonts w:hint="eastAsia" w:ascii="宋体" w:hAnsi="宋体" w:eastAsia="宋体" w:cs="宋体"/>
          <w:bCs/>
          <w:color w:val="auto"/>
          <w:sz w:val="24"/>
          <w:highlight w:val="none"/>
          <w:lang w:val="en-US" w:eastAsia="zh-CN"/>
        </w:rPr>
        <w:t>发布</w:t>
      </w:r>
      <w:r>
        <w:rPr>
          <w:rFonts w:hint="eastAsia" w:ascii="宋体" w:hAnsi="宋体" w:eastAsia="宋体" w:cs="宋体"/>
          <w:bCs/>
          <w:color w:val="auto"/>
          <w:sz w:val="24"/>
          <w:highlight w:val="none"/>
        </w:rPr>
        <w:t>关于调整《网络关键设备和网络安全专用产品目录》的公告2023年第2号</w:t>
      </w:r>
      <w:r>
        <w:rPr>
          <w:rFonts w:hint="eastAsia" w:ascii="宋体" w:hAnsi="宋体" w:eastAsia="宋体" w:cs="宋体"/>
          <w:bCs/>
          <w:color w:val="auto"/>
          <w:sz w:val="24"/>
          <w:highlight w:val="none"/>
          <w:lang w:val="en-US" w:eastAsia="zh-CN"/>
        </w:rPr>
        <w:t>公布的</w:t>
      </w:r>
      <w:r>
        <w:rPr>
          <w:rFonts w:hint="eastAsia" w:ascii="宋体" w:hAnsi="宋体" w:eastAsia="宋体" w:cs="宋体"/>
          <w:bCs/>
          <w:color w:val="auto"/>
          <w:sz w:val="24"/>
          <w:highlight w:val="none"/>
        </w:rPr>
        <w:t>《网络关键设备和网络安全专用产品目录》</w:t>
      </w:r>
      <w:r>
        <w:rPr>
          <w:rFonts w:hint="eastAsia" w:ascii="宋体" w:hAnsi="宋体" w:eastAsia="宋体" w:cs="宋体"/>
          <w:bCs/>
          <w:color w:val="auto"/>
          <w:sz w:val="24"/>
          <w:highlight w:val="none"/>
          <w:lang w:val="en-US" w:eastAsia="zh-CN"/>
        </w:rPr>
        <w:t>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网络安全专用产品安全技术要求》等相关国家标准强制性要求检测的安全认证合格或者安全检测符合要求的证明材料或对此前已经获得有效的《计算机信息系统安全专用产品销售许可证》证明材料附后</w:t>
      </w:r>
      <w:r>
        <w:rPr>
          <w:rFonts w:hint="eastAsia" w:ascii="宋体" w:hAnsi="宋体" w:eastAsia="宋体" w:cs="宋体"/>
          <w:bCs/>
          <w:color w:val="auto"/>
          <w:sz w:val="24"/>
          <w:highlight w:val="none"/>
        </w:rPr>
        <w:t>。</w:t>
      </w:r>
    </w:p>
    <w:p w14:paraId="797D5286">
      <w:pPr>
        <w:keepNext/>
        <w:tabs>
          <w:tab w:val="left" w:pos="1680"/>
        </w:tabs>
        <w:topLinePunct/>
        <w:snapToGrid w:val="0"/>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r>
        <w:rPr>
          <w:rFonts w:hint="eastAsia" w:ascii="宋体" w:hAnsi="宋体" w:eastAsia="宋体" w:cs="宋体"/>
          <w:bCs/>
          <w:color w:val="auto"/>
          <w:sz w:val="24"/>
          <w:highlight w:val="none"/>
        </w:rPr>
        <w:t>（2）非强制节能、环保标志产品</w:t>
      </w:r>
    </w:p>
    <w:p w14:paraId="7A04FE61">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非强制节能产品明细表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14:paraId="481C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14:paraId="3B7C9D74">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243" w:type="dxa"/>
            <w:vAlign w:val="center"/>
          </w:tcPr>
          <w:p w14:paraId="12EAF021">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1108" w:type="dxa"/>
            <w:vAlign w:val="center"/>
          </w:tcPr>
          <w:p w14:paraId="2A7302CB">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125" w:type="dxa"/>
            <w:vAlign w:val="center"/>
          </w:tcPr>
          <w:p w14:paraId="79A88191">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618" w:type="dxa"/>
            <w:vAlign w:val="center"/>
          </w:tcPr>
          <w:p w14:paraId="0A02190C">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494" w:type="dxa"/>
            <w:vAlign w:val="center"/>
          </w:tcPr>
          <w:p w14:paraId="69A93396">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549" w:type="dxa"/>
            <w:vAlign w:val="center"/>
          </w:tcPr>
          <w:p w14:paraId="103F76C3">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认证机构名称</w:t>
            </w:r>
          </w:p>
        </w:tc>
      </w:tr>
      <w:tr w14:paraId="569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75C7E3A4">
            <w:pPr>
              <w:keepNext/>
              <w:topLinePunct/>
              <w:adjustRightInd w:val="0"/>
              <w:snapToGrid w:val="0"/>
              <w:jc w:val="center"/>
              <w:rPr>
                <w:rFonts w:hint="eastAsia" w:ascii="宋体" w:hAnsi="宋体" w:eastAsia="宋体" w:cs="宋体"/>
                <w:b/>
                <w:color w:val="auto"/>
                <w:szCs w:val="21"/>
                <w:highlight w:val="none"/>
              </w:rPr>
            </w:pPr>
          </w:p>
        </w:tc>
        <w:tc>
          <w:tcPr>
            <w:tcW w:w="1243" w:type="dxa"/>
          </w:tcPr>
          <w:p w14:paraId="133E5032">
            <w:pPr>
              <w:keepNext/>
              <w:topLinePunct/>
              <w:adjustRightInd w:val="0"/>
              <w:snapToGrid w:val="0"/>
              <w:jc w:val="center"/>
              <w:rPr>
                <w:rFonts w:hint="eastAsia" w:ascii="宋体" w:hAnsi="宋体" w:eastAsia="宋体" w:cs="宋体"/>
                <w:b/>
                <w:color w:val="auto"/>
                <w:szCs w:val="21"/>
                <w:highlight w:val="none"/>
              </w:rPr>
            </w:pPr>
          </w:p>
        </w:tc>
        <w:tc>
          <w:tcPr>
            <w:tcW w:w="1108" w:type="dxa"/>
          </w:tcPr>
          <w:p w14:paraId="189F8E91">
            <w:pPr>
              <w:keepNext/>
              <w:topLinePunct/>
              <w:adjustRightInd w:val="0"/>
              <w:snapToGrid w:val="0"/>
              <w:jc w:val="center"/>
              <w:rPr>
                <w:rFonts w:hint="eastAsia" w:ascii="宋体" w:hAnsi="宋体" w:eastAsia="宋体" w:cs="宋体"/>
                <w:b/>
                <w:color w:val="auto"/>
                <w:szCs w:val="21"/>
                <w:highlight w:val="none"/>
              </w:rPr>
            </w:pPr>
          </w:p>
        </w:tc>
        <w:tc>
          <w:tcPr>
            <w:tcW w:w="1125" w:type="dxa"/>
          </w:tcPr>
          <w:p w14:paraId="5BD989D6">
            <w:pPr>
              <w:keepNext/>
              <w:topLinePunct/>
              <w:adjustRightInd w:val="0"/>
              <w:snapToGrid w:val="0"/>
              <w:jc w:val="center"/>
              <w:rPr>
                <w:rFonts w:hint="eastAsia" w:ascii="宋体" w:hAnsi="宋体" w:eastAsia="宋体" w:cs="宋体"/>
                <w:b/>
                <w:color w:val="auto"/>
                <w:szCs w:val="21"/>
                <w:highlight w:val="none"/>
              </w:rPr>
            </w:pPr>
          </w:p>
        </w:tc>
        <w:tc>
          <w:tcPr>
            <w:tcW w:w="1618" w:type="dxa"/>
          </w:tcPr>
          <w:p w14:paraId="4702D3A7">
            <w:pPr>
              <w:keepNext/>
              <w:topLinePunct/>
              <w:adjustRightInd w:val="0"/>
              <w:snapToGrid w:val="0"/>
              <w:jc w:val="center"/>
              <w:rPr>
                <w:rFonts w:hint="eastAsia" w:ascii="宋体" w:hAnsi="宋体" w:eastAsia="宋体" w:cs="宋体"/>
                <w:b/>
                <w:color w:val="auto"/>
                <w:szCs w:val="21"/>
                <w:highlight w:val="none"/>
              </w:rPr>
            </w:pPr>
          </w:p>
        </w:tc>
        <w:tc>
          <w:tcPr>
            <w:tcW w:w="1494" w:type="dxa"/>
          </w:tcPr>
          <w:p w14:paraId="26EE98B2">
            <w:pPr>
              <w:keepNext/>
              <w:topLinePunct/>
              <w:adjustRightInd w:val="0"/>
              <w:snapToGrid w:val="0"/>
              <w:jc w:val="center"/>
              <w:rPr>
                <w:rFonts w:hint="eastAsia" w:ascii="宋体" w:hAnsi="宋体" w:eastAsia="宋体" w:cs="宋体"/>
                <w:b/>
                <w:color w:val="auto"/>
                <w:szCs w:val="21"/>
                <w:highlight w:val="none"/>
              </w:rPr>
            </w:pPr>
          </w:p>
        </w:tc>
        <w:tc>
          <w:tcPr>
            <w:tcW w:w="1549" w:type="dxa"/>
          </w:tcPr>
          <w:p w14:paraId="518D6FF0">
            <w:pPr>
              <w:keepNext/>
              <w:topLinePunct/>
              <w:adjustRightInd w:val="0"/>
              <w:snapToGrid w:val="0"/>
              <w:jc w:val="center"/>
              <w:rPr>
                <w:rFonts w:hint="eastAsia" w:ascii="宋体" w:hAnsi="宋体" w:eastAsia="宋体" w:cs="宋体"/>
                <w:b/>
                <w:color w:val="auto"/>
                <w:szCs w:val="21"/>
                <w:highlight w:val="none"/>
              </w:rPr>
            </w:pPr>
          </w:p>
        </w:tc>
      </w:tr>
      <w:tr w14:paraId="35C3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494BECC5">
            <w:pPr>
              <w:keepNext/>
              <w:topLinePunct/>
              <w:adjustRightInd w:val="0"/>
              <w:snapToGrid w:val="0"/>
              <w:jc w:val="center"/>
              <w:rPr>
                <w:rFonts w:hint="eastAsia" w:ascii="宋体" w:hAnsi="宋体" w:eastAsia="宋体" w:cs="宋体"/>
                <w:b/>
                <w:color w:val="auto"/>
                <w:szCs w:val="21"/>
                <w:highlight w:val="none"/>
              </w:rPr>
            </w:pPr>
          </w:p>
        </w:tc>
        <w:tc>
          <w:tcPr>
            <w:tcW w:w="1243" w:type="dxa"/>
          </w:tcPr>
          <w:p w14:paraId="50E8A6E7">
            <w:pPr>
              <w:keepNext/>
              <w:topLinePunct/>
              <w:adjustRightInd w:val="0"/>
              <w:snapToGrid w:val="0"/>
              <w:jc w:val="center"/>
              <w:rPr>
                <w:rFonts w:hint="eastAsia" w:ascii="宋体" w:hAnsi="宋体" w:eastAsia="宋体" w:cs="宋体"/>
                <w:b/>
                <w:color w:val="auto"/>
                <w:szCs w:val="21"/>
                <w:highlight w:val="none"/>
              </w:rPr>
            </w:pPr>
          </w:p>
        </w:tc>
        <w:tc>
          <w:tcPr>
            <w:tcW w:w="1108" w:type="dxa"/>
          </w:tcPr>
          <w:p w14:paraId="0E9A7CF2">
            <w:pPr>
              <w:keepNext/>
              <w:topLinePunct/>
              <w:adjustRightInd w:val="0"/>
              <w:snapToGrid w:val="0"/>
              <w:jc w:val="center"/>
              <w:rPr>
                <w:rFonts w:hint="eastAsia" w:ascii="宋体" w:hAnsi="宋体" w:eastAsia="宋体" w:cs="宋体"/>
                <w:b/>
                <w:color w:val="auto"/>
                <w:szCs w:val="21"/>
                <w:highlight w:val="none"/>
              </w:rPr>
            </w:pPr>
          </w:p>
        </w:tc>
        <w:tc>
          <w:tcPr>
            <w:tcW w:w="1125" w:type="dxa"/>
          </w:tcPr>
          <w:p w14:paraId="4116C0AE">
            <w:pPr>
              <w:keepNext/>
              <w:topLinePunct/>
              <w:adjustRightInd w:val="0"/>
              <w:snapToGrid w:val="0"/>
              <w:jc w:val="center"/>
              <w:rPr>
                <w:rFonts w:hint="eastAsia" w:ascii="宋体" w:hAnsi="宋体" w:eastAsia="宋体" w:cs="宋体"/>
                <w:b/>
                <w:color w:val="auto"/>
                <w:szCs w:val="21"/>
                <w:highlight w:val="none"/>
              </w:rPr>
            </w:pPr>
          </w:p>
        </w:tc>
        <w:tc>
          <w:tcPr>
            <w:tcW w:w="1618" w:type="dxa"/>
          </w:tcPr>
          <w:p w14:paraId="46EF7961">
            <w:pPr>
              <w:keepNext/>
              <w:topLinePunct/>
              <w:adjustRightInd w:val="0"/>
              <w:snapToGrid w:val="0"/>
              <w:jc w:val="center"/>
              <w:rPr>
                <w:rFonts w:hint="eastAsia" w:ascii="宋体" w:hAnsi="宋体" w:eastAsia="宋体" w:cs="宋体"/>
                <w:b/>
                <w:color w:val="auto"/>
                <w:szCs w:val="21"/>
                <w:highlight w:val="none"/>
              </w:rPr>
            </w:pPr>
          </w:p>
        </w:tc>
        <w:tc>
          <w:tcPr>
            <w:tcW w:w="1494" w:type="dxa"/>
          </w:tcPr>
          <w:p w14:paraId="682FC22E">
            <w:pPr>
              <w:keepNext/>
              <w:topLinePunct/>
              <w:adjustRightInd w:val="0"/>
              <w:snapToGrid w:val="0"/>
              <w:jc w:val="center"/>
              <w:rPr>
                <w:rFonts w:hint="eastAsia" w:ascii="宋体" w:hAnsi="宋体" w:eastAsia="宋体" w:cs="宋体"/>
                <w:b/>
                <w:color w:val="auto"/>
                <w:szCs w:val="21"/>
                <w:highlight w:val="none"/>
              </w:rPr>
            </w:pPr>
          </w:p>
        </w:tc>
        <w:tc>
          <w:tcPr>
            <w:tcW w:w="1549" w:type="dxa"/>
          </w:tcPr>
          <w:p w14:paraId="724DB5D4">
            <w:pPr>
              <w:keepNext/>
              <w:topLinePunct/>
              <w:adjustRightInd w:val="0"/>
              <w:snapToGrid w:val="0"/>
              <w:jc w:val="center"/>
              <w:rPr>
                <w:rFonts w:hint="eastAsia" w:ascii="宋体" w:hAnsi="宋体" w:eastAsia="宋体" w:cs="宋体"/>
                <w:b/>
                <w:color w:val="auto"/>
                <w:szCs w:val="21"/>
                <w:highlight w:val="none"/>
              </w:rPr>
            </w:pPr>
          </w:p>
        </w:tc>
      </w:tr>
      <w:tr w14:paraId="2F16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3C8DBCFA">
            <w:pPr>
              <w:keepNext/>
              <w:topLinePunct/>
              <w:adjustRightInd w:val="0"/>
              <w:snapToGrid w:val="0"/>
              <w:jc w:val="center"/>
              <w:rPr>
                <w:rFonts w:hint="eastAsia" w:ascii="宋体" w:hAnsi="宋体" w:eastAsia="宋体" w:cs="宋体"/>
                <w:b/>
                <w:color w:val="auto"/>
                <w:szCs w:val="21"/>
                <w:highlight w:val="none"/>
              </w:rPr>
            </w:pPr>
          </w:p>
        </w:tc>
        <w:tc>
          <w:tcPr>
            <w:tcW w:w="1243" w:type="dxa"/>
          </w:tcPr>
          <w:p w14:paraId="07ABD59B">
            <w:pPr>
              <w:keepNext/>
              <w:topLinePunct/>
              <w:adjustRightInd w:val="0"/>
              <w:snapToGrid w:val="0"/>
              <w:jc w:val="center"/>
              <w:rPr>
                <w:rFonts w:hint="eastAsia" w:ascii="宋体" w:hAnsi="宋体" w:eastAsia="宋体" w:cs="宋体"/>
                <w:b/>
                <w:color w:val="auto"/>
                <w:szCs w:val="21"/>
                <w:highlight w:val="none"/>
              </w:rPr>
            </w:pPr>
          </w:p>
        </w:tc>
        <w:tc>
          <w:tcPr>
            <w:tcW w:w="1108" w:type="dxa"/>
          </w:tcPr>
          <w:p w14:paraId="5A8D23FE">
            <w:pPr>
              <w:keepNext/>
              <w:topLinePunct/>
              <w:adjustRightInd w:val="0"/>
              <w:snapToGrid w:val="0"/>
              <w:jc w:val="center"/>
              <w:rPr>
                <w:rFonts w:hint="eastAsia" w:ascii="宋体" w:hAnsi="宋体" w:eastAsia="宋体" w:cs="宋体"/>
                <w:b/>
                <w:color w:val="auto"/>
                <w:szCs w:val="21"/>
                <w:highlight w:val="none"/>
              </w:rPr>
            </w:pPr>
          </w:p>
        </w:tc>
        <w:tc>
          <w:tcPr>
            <w:tcW w:w="1125" w:type="dxa"/>
          </w:tcPr>
          <w:p w14:paraId="7DCF9D14">
            <w:pPr>
              <w:keepNext/>
              <w:topLinePunct/>
              <w:adjustRightInd w:val="0"/>
              <w:snapToGrid w:val="0"/>
              <w:jc w:val="center"/>
              <w:rPr>
                <w:rFonts w:hint="eastAsia" w:ascii="宋体" w:hAnsi="宋体" w:eastAsia="宋体" w:cs="宋体"/>
                <w:b/>
                <w:color w:val="auto"/>
                <w:szCs w:val="21"/>
                <w:highlight w:val="none"/>
              </w:rPr>
            </w:pPr>
          </w:p>
        </w:tc>
        <w:tc>
          <w:tcPr>
            <w:tcW w:w="1618" w:type="dxa"/>
          </w:tcPr>
          <w:p w14:paraId="2EEE029D">
            <w:pPr>
              <w:keepNext/>
              <w:topLinePunct/>
              <w:adjustRightInd w:val="0"/>
              <w:snapToGrid w:val="0"/>
              <w:jc w:val="center"/>
              <w:rPr>
                <w:rFonts w:hint="eastAsia" w:ascii="宋体" w:hAnsi="宋体" w:eastAsia="宋体" w:cs="宋体"/>
                <w:b/>
                <w:color w:val="auto"/>
                <w:szCs w:val="21"/>
                <w:highlight w:val="none"/>
              </w:rPr>
            </w:pPr>
          </w:p>
        </w:tc>
        <w:tc>
          <w:tcPr>
            <w:tcW w:w="1494" w:type="dxa"/>
          </w:tcPr>
          <w:p w14:paraId="2E6275E0">
            <w:pPr>
              <w:keepNext/>
              <w:topLinePunct/>
              <w:adjustRightInd w:val="0"/>
              <w:snapToGrid w:val="0"/>
              <w:jc w:val="center"/>
              <w:rPr>
                <w:rFonts w:hint="eastAsia" w:ascii="宋体" w:hAnsi="宋体" w:eastAsia="宋体" w:cs="宋体"/>
                <w:b/>
                <w:color w:val="auto"/>
                <w:szCs w:val="21"/>
                <w:highlight w:val="none"/>
              </w:rPr>
            </w:pPr>
          </w:p>
        </w:tc>
        <w:tc>
          <w:tcPr>
            <w:tcW w:w="1549" w:type="dxa"/>
          </w:tcPr>
          <w:p w14:paraId="7646101A">
            <w:pPr>
              <w:keepNext/>
              <w:topLinePunct/>
              <w:adjustRightInd w:val="0"/>
              <w:snapToGrid w:val="0"/>
              <w:jc w:val="center"/>
              <w:rPr>
                <w:rFonts w:hint="eastAsia" w:ascii="宋体" w:hAnsi="宋体" w:eastAsia="宋体" w:cs="宋体"/>
                <w:b/>
                <w:color w:val="auto"/>
                <w:szCs w:val="21"/>
                <w:highlight w:val="none"/>
              </w:rPr>
            </w:pPr>
          </w:p>
        </w:tc>
      </w:tr>
    </w:tbl>
    <w:p w14:paraId="48AF0BC0">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p>
    <w:p w14:paraId="2DFA4E0C">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环境标志产品明细表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53"/>
        <w:gridCol w:w="918"/>
        <w:gridCol w:w="990"/>
        <w:gridCol w:w="1098"/>
        <w:gridCol w:w="1511"/>
        <w:gridCol w:w="1352"/>
        <w:gridCol w:w="1259"/>
      </w:tblGrid>
      <w:tr w14:paraId="7EC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3D4AB5A">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53" w:type="dxa"/>
            <w:vAlign w:val="center"/>
          </w:tcPr>
          <w:p w14:paraId="7BA463ED">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18" w:type="dxa"/>
            <w:vAlign w:val="center"/>
          </w:tcPr>
          <w:p w14:paraId="1ABCEF96">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990" w:type="dxa"/>
            <w:vAlign w:val="center"/>
          </w:tcPr>
          <w:p w14:paraId="31067475">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注册商标</w:t>
            </w:r>
          </w:p>
        </w:tc>
        <w:tc>
          <w:tcPr>
            <w:tcW w:w="1098" w:type="dxa"/>
            <w:vAlign w:val="center"/>
          </w:tcPr>
          <w:p w14:paraId="12464860">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511" w:type="dxa"/>
            <w:vAlign w:val="center"/>
          </w:tcPr>
          <w:p w14:paraId="7DF18843">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环境标志产品认证证书号</w:t>
            </w:r>
          </w:p>
        </w:tc>
        <w:tc>
          <w:tcPr>
            <w:tcW w:w="1352" w:type="dxa"/>
            <w:vAlign w:val="center"/>
          </w:tcPr>
          <w:p w14:paraId="04A64FCC">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259" w:type="dxa"/>
            <w:vAlign w:val="center"/>
          </w:tcPr>
          <w:p w14:paraId="29B98EBC">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认证机构名称</w:t>
            </w:r>
          </w:p>
        </w:tc>
      </w:tr>
      <w:tr w14:paraId="27A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652" w:type="dxa"/>
          </w:tcPr>
          <w:p w14:paraId="027CF5A0">
            <w:pPr>
              <w:keepNext/>
              <w:topLinePunct/>
              <w:adjustRightInd w:val="0"/>
              <w:snapToGrid w:val="0"/>
              <w:jc w:val="center"/>
              <w:rPr>
                <w:rFonts w:hint="eastAsia" w:ascii="宋体" w:hAnsi="宋体" w:eastAsia="宋体" w:cs="宋体"/>
                <w:b/>
                <w:color w:val="auto"/>
                <w:szCs w:val="21"/>
                <w:highlight w:val="none"/>
              </w:rPr>
            </w:pPr>
          </w:p>
        </w:tc>
        <w:tc>
          <w:tcPr>
            <w:tcW w:w="1053" w:type="dxa"/>
          </w:tcPr>
          <w:p w14:paraId="001EC80E">
            <w:pPr>
              <w:keepNext/>
              <w:topLinePunct/>
              <w:adjustRightInd w:val="0"/>
              <w:snapToGrid w:val="0"/>
              <w:jc w:val="center"/>
              <w:rPr>
                <w:rFonts w:hint="eastAsia" w:ascii="宋体" w:hAnsi="宋体" w:eastAsia="宋体" w:cs="宋体"/>
                <w:b/>
                <w:color w:val="auto"/>
                <w:szCs w:val="21"/>
                <w:highlight w:val="none"/>
              </w:rPr>
            </w:pPr>
          </w:p>
        </w:tc>
        <w:tc>
          <w:tcPr>
            <w:tcW w:w="918" w:type="dxa"/>
          </w:tcPr>
          <w:p w14:paraId="0A2F8EC8">
            <w:pPr>
              <w:keepNext/>
              <w:topLinePunct/>
              <w:adjustRightInd w:val="0"/>
              <w:snapToGrid w:val="0"/>
              <w:jc w:val="center"/>
              <w:rPr>
                <w:rFonts w:hint="eastAsia" w:ascii="宋体" w:hAnsi="宋体" w:eastAsia="宋体" w:cs="宋体"/>
                <w:b/>
                <w:color w:val="auto"/>
                <w:szCs w:val="21"/>
                <w:highlight w:val="none"/>
              </w:rPr>
            </w:pPr>
          </w:p>
        </w:tc>
        <w:tc>
          <w:tcPr>
            <w:tcW w:w="990" w:type="dxa"/>
          </w:tcPr>
          <w:p w14:paraId="1A8BEDDD">
            <w:pPr>
              <w:keepNext/>
              <w:topLinePunct/>
              <w:adjustRightInd w:val="0"/>
              <w:snapToGrid w:val="0"/>
              <w:jc w:val="center"/>
              <w:rPr>
                <w:rFonts w:hint="eastAsia" w:ascii="宋体" w:hAnsi="宋体" w:eastAsia="宋体" w:cs="宋体"/>
                <w:b/>
                <w:color w:val="auto"/>
                <w:szCs w:val="21"/>
                <w:highlight w:val="none"/>
              </w:rPr>
            </w:pPr>
          </w:p>
        </w:tc>
        <w:tc>
          <w:tcPr>
            <w:tcW w:w="1098" w:type="dxa"/>
          </w:tcPr>
          <w:p w14:paraId="5B8C2D98">
            <w:pPr>
              <w:keepNext/>
              <w:topLinePunct/>
              <w:adjustRightInd w:val="0"/>
              <w:snapToGrid w:val="0"/>
              <w:jc w:val="center"/>
              <w:rPr>
                <w:rFonts w:hint="eastAsia" w:ascii="宋体" w:hAnsi="宋体" w:eastAsia="宋体" w:cs="宋体"/>
                <w:b/>
                <w:color w:val="auto"/>
                <w:szCs w:val="21"/>
                <w:highlight w:val="none"/>
              </w:rPr>
            </w:pPr>
          </w:p>
        </w:tc>
        <w:tc>
          <w:tcPr>
            <w:tcW w:w="1511" w:type="dxa"/>
          </w:tcPr>
          <w:p w14:paraId="25892D4F">
            <w:pPr>
              <w:keepNext/>
              <w:topLinePunct/>
              <w:adjustRightInd w:val="0"/>
              <w:snapToGrid w:val="0"/>
              <w:jc w:val="center"/>
              <w:rPr>
                <w:rFonts w:hint="eastAsia" w:ascii="宋体" w:hAnsi="宋体" w:eastAsia="宋体" w:cs="宋体"/>
                <w:b/>
                <w:color w:val="auto"/>
                <w:szCs w:val="21"/>
                <w:highlight w:val="none"/>
              </w:rPr>
            </w:pPr>
          </w:p>
        </w:tc>
        <w:tc>
          <w:tcPr>
            <w:tcW w:w="1352" w:type="dxa"/>
          </w:tcPr>
          <w:p w14:paraId="57DD3A6B">
            <w:pPr>
              <w:keepNext/>
              <w:topLinePunct/>
              <w:adjustRightInd w:val="0"/>
              <w:snapToGrid w:val="0"/>
              <w:jc w:val="center"/>
              <w:rPr>
                <w:rFonts w:hint="eastAsia" w:ascii="宋体" w:hAnsi="宋体" w:eastAsia="宋体" w:cs="宋体"/>
                <w:b/>
                <w:color w:val="auto"/>
                <w:szCs w:val="21"/>
                <w:highlight w:val="none"/>
              </w:rPr>
            </w:pPr>
          </w:p>
        </w:tc>
        <w:tc>
          <w:tcPr>
            <w:tcW w:w="1259" w:type="dxa"/>
          </w:tcPr>
          <w:p w14:paraId="60E8255C">
            <w:pPr>
              <w:keepNext/>
              <w:topLinePunct/>
              <w:adjustRightInd w:val="0"/>
              <w:snapToGrid w:val="0"/>
              <w:jc w:val="center"/>
              <w:rPr>
                <w:rFonts w:hint="eastAsia" w:ascii="宋体" w:hAnsi="宋体" w:eastAsia="宋体" w:cs="宋体"/>
                <w:b/>
                <w:color w:val="auto"/>
                <w:szCs w:val="21"/>
                <w:highlight w:val="none"/>
              </w:rPr>
            </w:pPr>
          </w:p>
        </w:tc>
      </w:tr>
      <w:tr w14:paraId="45F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0AE05AC1">
            <w:pPr>
              <w:keepNext/>
              <w:topLinePunct/>
              <w:adjustRightInd w:val="0"/>
              <w:snapToGrid w:val="0"/>
              <w:jc w:val="center"/>
              <w:rPr>
                <w:rFonts w:hint="eastAsia" w:ascii="宋体" w:hAnsi="宋体" w:eastAsia="宋体" w:cs="宋体"/>
                <w:b/>
                <w:color w:val="auto"/>
                <w:szCs w:val="21"/>
                <w:highlight w:val="none"/>
              </w:rPr>
            </w:pPr>
          </w:p>
        </w:tc>
        <w:tc>
          <w:tcPr>
            <w:tcW w:w="1053" w:type="dxa"/>
          </w:tcPr>
          <w:p w14:paraId="494C8971">
            <w:pPr>
              <w:keepNext/>
              <w:topLinePunct/>
              <w:adjustRightInd w:val="0"/>
              <w:snapToGrid w:val="0"/>
              <w:jc w:val="center"/>
              <w:rPr>
                <w:rFonts w:hint="eastAsia" w:ascii="宋体" w:hAnsi="宋体" w:eastAsia="宋体" w:cs="宋体"/>
                <w:b/>
                <w:color w:val="auto"/>
                <w:szCs w:val="21"/>
                <w:highlight w:val="none"/>
              </w:rPr>
            </w:pPr>
          </w:p>
        </w:tc>
        <w:tc>
          <w:tcPr>
            <w:tcW w:w="918" w:type="dxa"/>
          </w:tcPr>
          <w:p w14:paraId="02EC0BEB">
            <w:pPr>
              <w:keepNext/>
              <w:topLinePunct/>
              <w:adjustRightInd w:val="0"/>
              <w:snapToGrid w:val="0"/>
              <w:jc w:val="center"/>
              <w:rPr>
                <w:rFonts w:hint="eastAsia" w:ascii="宋体" w:hAnsi="宋体" w:eastAsia="宋体" w:cs="宋体"/>
                <w:b/>
                <w:color w:val="auto"/>
                <w:szCs w:val="21"/>
                <w:highlight w:val="none"/>
              </w:rPr>
            </w:pPr>
          </w:p>
        </w:tc>
        <w:tc>
          <w:tcPr>
            <w:tcW w:w="990" w:type="dxa"/>
          </w:tcPr>
          <w:p w14:paraId="3BAF3EEC">
            <w:pPr>
              <w:keepNext/>
              <w:topLinePunct/>
              <w:adjustRightInd w:val="0"/>
              <w:snapToGrid w:val="0"/>
              <w:jc w:val="center"/>
              <w:rPr>
                <w:rFonts w:hint="eastAsia" w:ascii="宋体" w:hAnsi="宋体" w:eastAsia="宋体" w:cs="宋体"/>
                <w:b/>
                <w:color w:val="auto"/>
                <w:szCs w:val="21"/>
                <w:highlight w:val="none"/>
              </w:rPr>
            </w:pPr>
          </w:p>
        </w:tc>
        <w:tc>
          <w:tcPr>
            <w:tcW w:w="1098" w:type="dxa"/>
          </w:tcPr>
          <w:p w14:paraId="0902CF33">
            <w:pPr>
              <w:keepNext/>
              <w:topLinePunct/>
              <w:adjustRightInd w:val="0"/>
              <w:snapToGrid w:val="0"/>
              <w:jc w:val="center"/>
              <w:rPr>
                <w:rFonts w:hint="eastAsia" w:ascii="宋体" w:hAnsi="宋体" w:eastAsia="宋体" w:cs="宋体"/>
                <w:b/>
                <w:color w:val="auto"/>
                <w:szCs w:val="21"/>
                <w:highlight w:val="none"/>
              </w:rPr>
            </w:pPr>
          </w:p>
        </w:tc>
        <w:tc>
          <w:tcPr>
            <w:tcW w:w="1511" w:type="dxa"/>
          </w:tcPr>
          <w:p w14:paraId="022A99D7">
            <w:pPr>
              <w:keepNext/>
              <w:topLinePunct/>
              <w:adjustRightInd w:val="0"/>
              <w:snapToGrid w:val="0"/>
              <w:jc w:val="center"/>
              <w:rPr>
                <w:rFonts w:hint="eastAsia" w:ascii="宋体" w:hAnsi="宋体" w:eastAsia="宋体" w:cs="宋体"/>
                <w:b/>
                <w:color w:val="auto"/>
                <w:szCs w:val="21"/>
                <w:highlight w:val="none"/>
              </w:rPr>
            </w:pPr>
          </w:p>
        </w:tc>
        <w:tc>
          <w:tcPr>
            <w:tcW w:w="1352" w:type="dxa"/>
          </w:tcPr>
          <w:p w14:paraId="7B8EEFA9">
            <w:pPr>
              <w:keepNext/>
              <w:topLinePunct/>
              <w:adjustRightInd w:val="0"/>
              <w:snapToGrid w:val="0"/>
              <w:jc w:val="center"/>
              <w:rPr>
                <w:rFonts w:hint="eastAsia" w:ascii="宋体" w:hAnsi="宋体" w:eastAsia="宋体" w:cs="宋体"/>
                <w:b/>
                <w:color w:val="auto"/>
                <w:szCs w:val="21"/>
                <w:highlight w:val="none"/>
              </w:rPr>
            </w:pPr>
          </w:p>
        </w:tc>
        <w:tc>
          <w:tcPr>
            <w:tcW w:w="1259" w:type="dxa"/>
          </w:tcPr>
          <w:p w14:paraId="67503931">
            <w:pPr>
              <w:keepNext/>
              <w:topLinePunct/>
              <w:adjustRightInd w:val="0"/>
              <w:snapToGrid w:val="0"/>
              <w:jc w:val="center"/>
              <w:rPr>
                <w:rFonts w:hint="eastAsia" w:ascii="宋体" w:hAnsi="宋体" w:eastAsia="宋体" w:cs="宋体"/>
                <w:b/>
                <w:color w:val="auto"/>
                <w:szCs w:val="21"/>
                <w:highlight w:val="none"/>
              </w:rPr>
            </w:pPr>
          </w:p>
        </w:tc>
      </w:tr>
      <w:tr w14:paraId="0503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1A7ED9D">
            <w:pPr>
              <w:keepNext/>
              <w:topLinePunct/>
              <w:adjustRightInd w:val="0"/>
              <w:snapToGrid w:val="0"/>
              <w:jc w:val="center"/>
              <w:rPr>
                <w:rFonts w:hint="eastAsia" w:ascii="宋体" w:hAnsi="宋体" w:eastAsia="宋体" w:cs="宋体"/>
                <w:b/>
                <w:color w:val="auto"/>
                <w:szCs w:val="21"/>
                <w:highlight w:val="none"/>
              </w:rPr>
            </w:pPr>
          </w:p>
        </w:tc>
        <w:tc>
          <w:tcPr>
            <w:tcW w:w="1053" w:type="dxa"/>
          </w:tcPr>
          <w:p w14:paraId="5EEFDC4B">
            <w:pPr>
              <w:keepNext/>
              <w:topLinePunct/>
              <w:adjustRightInd w:val="0"/>
              <w:snapToGrid w:val="0"/>
              <w:jc w:val="center"/>
              <w:rPr>
                <w:rFonts w:hint="eastAsia" w:ascii="宋体" w:hAnsi="宋体" w:eastAsia="宋体" w:cs="宋体"/>
                <w:b/>
                <w:color w:val="auto"/>
                <w:szCs w:val="21"/>
                <w:highlight w:val="none"/>
              </w:rPr>
            </w:pPr>
          </w:p>
        </w:tc>
        <w:tc>
          <w:tcPr>
            <w:tcW w:w="918" w:type="dxa"/>
          </w:tcPr>
          <w:p w14:paraId="33401D97">
            <w:pPr>
              <w:keepNext/>
              <w:topLinePunct/>
              <w:adjustRightInd w:val="0"/>
              <w:snapToGrid w:val="0"/>
              <w:jc w:val="center"/>
              <w:rPr>
                <w:rFonts w:hint="eastAsia" w:ascii="宋体" w:hAnsi="宋体" w:eastAsia="宋体" w:cs="宋体"/>
                <w:b/>
                <w:color w:val="auto"/>
                <w:szCs w:val="21"/>
                <w:highlight w:val="none"/>
              </w:rPr>
            </w:pPr>
          </w:p>
        </w:tc>
        <w:tc>
          <w:tcPr>
            <w:tcW w:w="990" w:type="dxa"/>
          </w:tcPr>
          <w:p w14:paraId="56CEDB07">
            <w:pPr>
              <w:keepNext/>
              <w:topLinePunct/>
              <w:adjustRightInd w:val="0"/>
              <w:snapToGrid w:val="0"/>
              <w:jc w:val="center"/>
              <w:rPr>
                <w:rFonts w:hint="eastAsia" w:ascii="宋体" w:hAnsi="宋体" w:eastAsia="宋体" w:cs="宋体"/>
                <w:b/>
                <w:color w:val="auto"/>
                <w:szCs w:val="21"/>
                <w:highlight w:val="none"/>
              </w:rPr>
            </w:pPr>
          </w:p>
        </w:tc>
        <w:tc>
          <w:tcPr>
            <w:tcW w:w="1098" w:type="dxa"/>
          </w:tcPr>
          <w:p w14:paraId="7763D53C">
            <w:pPr>
              <w:keepNext/>
              <w:topLinePunct/>
              <w:adjustRightInd w:val="0"/>
              <w:snapToGrid w:val="0"/>
              <w:jc w:val="center"/>
              <w:rPr>
                <w:rFonts w:hint="eastAsia" w:ascii="宋体" w:hAnsi="宋体" w:eastAsia="宋体" w:cs="宋体"/>
                <w:b/>
                <w:color w:val="auto"/>
                <w:szCs w:val="21"/>
                <w:highlight w:val="none"/>
              </w:rPr>
            </w:pPr>
          </w:p>
        </w:tc>
        <w:tc>
          <w:tcPr>
            <w:tcW w:w="1511" w:type="dxa"/>
          </w:tcPr>
          <w:p w14:paraId="323322C7">
            <w:pPr>
              <w:keepNext/>
              <w:topLinePunct/>
              <w:adjustRightInd w:val="0"/>
              <w:snapToGrid w:val="0"/>
              <w:jc w:val="center"/>
              <w:rPr>
                <w:rFonts w:hint="eastAsia" w:ascii="宋体" w:hAnsi="宋体" w:eastAsia="宋体" w:cs="宋体"/>
                <w:b/>
                <w:color w:val="auto"/>
                <w:szCs w:val="21"/>
                <w:highlight w:val="none"/>
              </w:rPr>
            </w:pPr>
          </w:p>
        </w:tc>
        <w:tc>
          <w:tcPr>
            <w:tcW w:w="1352" w:type="dxa"/>
          </w:tcPr>
          <w:p w14:paraId="53B38350">
            <w:pPr>
              <w:keepNext/>
              <w:topLinePunct/>
              <w:adjustRightInd w:val="0"/>
              <w:snapToGrid w:val="0"/>
              <w:jc w:val="center"/>
              <w:rPr>
                <w:rFonts w:hint="eastAsia" w:ascii="宋体" w:hAnsi="宋体" w:eastAsia="宋体" w:cs="宋体"/>
                <w:b/>
                <w:color w:val="auto"/>
                <w:szCs w:val="21"/>
                <w:highlight w:val="none"/>
              </w:rPr>
            </w:pPr>
          </w:p>
        </w:tc>
        <w:tc>
          <w:tcPr>
            <w:tcW w:w="1259" w:type="dxa"/>
          </w:tcPr>
          <w:p w14:paraId="0857C458">
            <w:pPr>
              <w:keepNext/>
              <w:topLinePunct/>
              <w:adjustRightInd w:val="0"/>
              <w:snapToGrid w:val="0"/>
              <w:jc w:val="center"/>
              <w:rPr>
                <w:rFonts w:hint="eastAsia" w:ascii="宋体" w:hAnsi="宋体" w:eastAsia="宋体" w:cs="宋体"/>
                <w:b/>
                <w:color w:val="auto"/>
                <w:szCs w:val="21"/>
                <w:highlight w:val="none"/>
              </w:rPr>
            </w:pPr>
          </w:p>
        </w:tc>
      </w:tr>
    </w:tbl>
    <w:p w14:paraId="23D2CFCE">
      <w:pPr>
        <w:keepNext/>
        <w:topLinePunct/>
        <w:snapToGrid w:val="0"/>
        <w:spacing w:line="360" w:lineRule="auto"/>
        <w:ind w:firstLine="480"/>
        <w:jc w:val="left"/>
        <w:rPr>
          <w:rFonts w:hint="eastAsia" w:ascii="宋体" w:hAnsi="宋体" w:eastAsia="宋体" w:cs="宋体"/>
          <w:color w:val="auto"/>
          <w:sz w:val="24"/>
          <w:highlight w:val="none"/>
        </w:rPr>
      </w:pPr>
    </w:p>
    <w:p w14:paraId="6CE60A07">
      <w:pPr>
        <w:keepNext/>
        <w:topLinePunct/>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EFEF11A">
      <w:pPr>
        <w:keepNext/>
        <w:topLinePunct/>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报价货物中如含有非强制节能、环境标志产品的，需如实填写，并提供获得国家确定的认证机构出具的处于有效期之内认证证书，否则不予认可。</w:t>
      </w:r>
    </w:p>
    <w:p w14:paraId="15917AD8">
      <w:pPr>
        <w:keepNext/>
        <w:tabs>
          <w:tab w:val="left" w:pos="1680"/>
        </w:tabs>
        <w:topLinePunct/>
        <w:adjustRightInd w:val="0"/>
        <w:snapToGrid w:val="0"/>
        <w:spacing w:line="360" w:lineRule="auto"/>
        <w:ind w:firstLine="480"/>
        <w:outlineLvl w:val="3"/>
        <w:rPr>
          <w:rFonts w:hint="eastAsia" w:ascii="宋体" w:hAnsi="宋体" w:eastAsia="宋体" w:cs="宋体"/>
          <w:b/>
          <w:color w:val="auto"/>
          <w:kern w:val="0"/>
          <w:sz w:val="24"/>
          <w:highlight w:val="none"/>
        </w:rPr>
      </w:pPr>
      <w:r>
        <w:rPr>
          <w:rFonts w:hint="eastAsia" w:ascii="宋体" w:hAnsi="宋体" w:eastAsia="宋体" w:cs="宋体"/>
          <w:bCs/>
          <w:color w:val="auto"/>
          <w:sz w:val="24"/>
          <w:highlight w:val="none"/>
        </w:rPr>
        <w:br w:type="page"/>
      </w:r>
      <w:r>
        <w:rPr>
          <w:rFonts w:hint="eastAsia" w:ascii="宋体" w:hAnsi="宋体" w:eastAsia="宋体" w:cs="宋体"/>
          <w:b/>
          <w:color w:val="auto"/>
          <w:kern w:val="0"/>
          <w:sz w:val="24"/>
          <w:highlight w:val="none"/>
        </w:rPr>
        <w:t>（二）网络安全专用产品（如不涉及，此函可不提供）</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5AA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E553334">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351" w:type="dxa"/>
            <w:vAlign w:val="center"/>
          </w:tcPr>
          <w:p w14:paraId="60B43A1A">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1560" w:type="dxa"/>
            <w:vAlign w:val="center"/>
          </w:tcPr>
          <w:p w14:paraId="689ECA7B">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234" w:type="dxa"/>
            <w:vAlign w:val="center"/>
          </w:tcPr>
          <w:p w14:paraId="1678A4ED">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注册商标</w:t>
            </w:r>
          </w:p>
        </w:tc>
        <w:tc>
          <w:tcPr>
            <w:tcW w:w="1146" w:type="dxa"/>
            <w:vAlign w:val="center"/>
          </w:tcPr>
          <w:p w14:paraId="041A2924">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729" w:type="dxa"/>
            <w:vAlign w:val="center"/>
          </w:tcPr>
          <w:p w14:paraId="525AF856">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合格或许可证号</w:t>
            </w:r>
          </w:p>
        </w:tc>
        <w:tc>
          <w:tcPr>
            <w:tcW w:w="1259" w:type="dxa"/>
            <w:vAlign w:val="center"/>
          </w:tcPr>
          <w:p w14:paraId="661C1F98">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认证机构名称</w:t>
            </w:r>
          </w:p>
        </w:tc>
      </w:tr>
      <w:tr w14:paraId="4EE7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7F408086">
            <w:pPr>
              <w:keepNext/>
              <w:topLinePunct/>
              <w:adjustRightInd w:val="0"/>
              <w:snapToGrid w:val="0"/>
              <w:jc w:val="center"/>
              <w:rPr>
                <w:rFonts w:hint="eastAsia" w:ascii="宋体" w:hAnsi="宋体" w:eastAsia="宋体" w:cs="宋体"/>
                <w:b/>
                <w:color w:val="auto"/>
                <w:szCs w:val="21"/>
                <w:highlight w:val="none"/>
              </w:rPr>
            </w:pPr>
          </w:p>
        </w:tc>
        <w:tc>
          <w:tcPr>
            <w:tcW w:w="1351" w:type="dxa"/>
          </w:tcPr>
          <w:p w14:paraId="3FEE0B56">
            <w:pPr>
              <w:keepNext/>
              <w:topLinePunct/>
              <w:adjustRightInd w:val="0"/>
              <w:snapToGrid w:val="0"/>
              <w:jc w:val="center"/>
              <w:rPr>
                <w:rFonts w:hint="eastAsia" w:ascii="宋体" w:hAnsi="宋体" w:eastAsia="宋体" w:cs="宋体"/>
                <w:b/>
                <w:color w:val="auto"/>
                <w:szCs w:val="21"/>
                <w:highlight w:val="none"/>
              </w:rPr>
            </w:pPr>
          </w:p>
        </w:tc>
        <w:tc>
          <w:tcPr>
            <w:tcW w:w="1560" w:type="dxa"/>
          </w:tcPr>
          <w:p w14:paraId="067193CF">
            <w:pPr>
              <w:keepNext/>
              <w:topLinePunct/>
              <w:adjustRightInd w:val="0"/>
              <w:snapToGrid w:val="0"/>
              <w:jc w:val="center"/>
              <w:rPr>
                <w:rFonts w:hint="eastAsia" w:ascii="宋体" w:hAnsi="宋体" w:eastAsia="宋体" w:cs="宋体"/>
                <w:b/>
                <w:color w:val="auto"/>
                <w:szCs w:val="21"/>
                <w:highlight w:val="none"/>
              </w:rPr>
            </w:pPr>
          </w:p>
        </w:tc>
        <w:tc>
          <w:tcPr>
            <w:tcW w:w="1234" w:type="dxa"/>
          </w:tcPr>
          <w:p w14:paraId="311F601C">
            <w:pPr>
              <w:keepNext/>
              <w:topLinePunct/>
              <w:adjustRightInd w:val="0"/>
              <w:snapToGrid w:val="0"/>
              <w:jc w:val="center"/>
              <w:rPr>
                <w:rFonts w:hint="eastAsia" w:ascii="宋体" w:hAnsi="宋体" w:eastAsia="宋体" w:cs="宋体"/>
                <w:b/>
                <w:color w:val="auto"/>
                <w:szCs w:val="21"/>
                <w:highlight w:val="none"/>
              </w:rPr>
            </w:pPr>
          </w:p>
        </w:tc>
        <w:tc>
          <w:tcPr>
            <w:tcW w:w="1146" w:type="dxa"/>
          </w:tcPr>
          <w:p w14:paraId="336AD15C">
            <w:pPr>
              <w:keepNext/>
              <w:topLinePunct/>
              <w:adjustRightInd w:val="0"/>
              <w:snapToGrid w:val="0"/>
              <w:jc w:val="center"/>
              <w:rPr>
                <w:rFonts w:hint="eastAsia" w:ascii="宋体" w:hAnsi="宋体" w:eastAsia="宋体" w:cs="宋体"/>
                <w:b/>
                <w:color w:val="auto"/>
                <w:szCs w:val="21"/>
                <w:highlight w:val="none"/>
              </w:rPr>
            </w:pPr>
          </w:p>
        </w:tc>
        <w:tc>
          <w:tcPr>
            <w:tcW w:w="1729" w:type="dxa"/>
          </w:tcPr>
          <w:p w14:paraId="78BE73D2">
            <w:pPr>
              <w:keepNext/>
              <w:topLinePunct/>
              <w:adjustRightInd w:val="0"/>
              <w:snapToGrid w:val="0"/>
              <w:jc w:val="center"/>
              <w:rPr>
                <w:rFonts w:hint="eastAsia" w:ascii="宋体" w:hAnsi="宋体" w:eastAsia="宋体" w:cs="宋体"/>
                <w:b/>
                <w:color w:val="auto"/>
                <w:szCs w:val="21"/>
                <w:highlight w:val="none"/>
              </w:rPr>
            </w:pPr>
          </w:p>
        </w:tc>
        <w:tc>
          <w:tcPr>
            <w:tcW w:w="1259" w:type="dxa"/>
          </w:tcPr>
          <w:p w14:paraId="63456F15">
            <w:pPr>
              <w:keepNext/>
              <w:topLinePunct/>
              <w:adjustRightInd w:val="0"/>
              <w:snapToGrid w:val="0"/>
              <w:jc w:val="center"/>
              <w:rPr>
                <w:rFonts w:hint="eastAsia" w:ascii="宋体" w:hAnsi="宋体" w:eastAsia="宋体" w:cs="宋体"/>
                <w:b/>
                <w:color w:val="auto"/>
                <w:szCs w:val="21"/>
                <w:highlight w:val="none"/>
              </w:rPr>
            </w:pPr>
          </w:p>
        </w:tc>
      </w:tr>
      <w:tr w14:paraId="7D6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272E764">
            <w:pPr>
              <w:keepNext/>
              <w:topLinePunct/>
              <w:adjustRightInd w:val="0"/>
              <w:snapToGrid w:val="0"/>
              <w:jc w:val="center"/>
              <w:rPr>
                <w:rFonts w:hint="eastAsia" w:ascii="宋体" w:hAnsi="宋体" w:eastAsia="宋体" w:cs="宋体"/>
                <w:b/>
                <w:color w:val="auto"/>
                <w:szCs w:val="21"/>
                <w:highlight w:val="none"/>
              </w:rPr>
            </w:pPr>
          </w:p>
        </w:tc>
        <w:tc>
          <w:tcPr>
            <w:tcW w:w="1351" w:type="dxa"/>
          </w:tcPr>
          <w:p w14:paraId="075BF323">
            <w:pPr>
              <w:keepNext/>
              <w:topLinePunct/>
              <w:adjustRightInd w:val="0"/>
              <w:snapToGrid w:val="0"/>
              <w:jc w:val="center"/>
              <w:rPr>
                <w:rFonts w:hint="eastAsia" w:ascii="宋体" w:hAnsi="宋体" w:eastAsia="宋体" w:cs="宋体"/>
                <w:b/>
                <w:color w:val="auto"/>
                <w:szCs w:val="21"/>
                <w:highlight w:val="none"/>
              </w:rPr>
            </w:pPr>
          </w:p>
        </w:tc>
        <w:tc>
          <w:tcPr>
            <w:tcW w:w="1560" w:type="dxa"/>
          </w:tcPr>
          <w:p w14:paraId="4BF9FE7B">
            <w:pPr>
              <w:keepNext/>
              <w:topLinePunct/>
              <w:adjustRightInd w:val="0"/>
              <w:snapToGrid w:val="0"/>
              <w:jc w:val="center"/>
              <w:rPr>
                <w:rFonts w:hint="eastAsia" w:ascii="宋体" w:hAnsi="宋体" w:eastAsia="宋体" w:cs="宋体"/>
                <w:b/>
                <w:color w:val="auto"/>
                <w:szCs w:val="21"/>
                <w:highlight w:val="none"/>
              </w:rPr>
            </w:pPr>
          </w:p>
        </w:tc>
        <w:tc>
          <w:tcPr>
            <w:tcW w:w="1234" w:type="dxa"/>
          </w:tcPr>
          <w:p w14:paraId="3A6B1C45">
            <w:pPr>
              <w:keepNext/>
              <w:topLinePunct/>
              <w:adjustRightInd w:val="0"/>
              <w:snapToGrid w:val="0"/>
              <w:jc w:val="center"/>
              <w:rPr>
                <w:rFonts w:hint="eastAsia" w:ascii="宋体" w:hAnsi="宋体" w:eastAsia="宋体" w:cs="宋体"/>
                <w:b/>
                <w:color w:val="auto"/>
                <w:szCs w:val="21"/>
                <w:highlight w:val="none"/>
              </w:rPr>
            </w:pPr>
          </w:p>
        </w:tc>
        <w:tc>
          <w:tcPr>
            <w:tcW w:w="1146" w:type="dxa"/>
          </w:tcPr>
          <w:p w14:paraId="382ED0D0">
            <w:pPr>
              <w:keepNext/>
              <w:topLinePunct/>
              <w:adjustRightInd w:val="0"/>
              <w:snapToGrid w:val="0"/>
              <w:jc w:val="center"/>
              <w:rPr>
                <w:rFonts w:hint="eastAsia" w:ascii="宋体" w:hAnsi="宋体" w:eastAsia="宋体" w:cs="宋体"/>
                <w:b/>
                <w:color w:val="auto"/>
                <w:szCs w:val="21"/>
                <w:highlight w:val="none"/>
              </w:rPr>
            </w:pPr>
          </w:p>
        </w:tc>
        <w:tc>
          <w:tcPr>
            <w:tcW w:w="1729" w:type="dxa"/>
          </w:tcPr>
          <w:p w14:paraId="4344232D">
            <w:pPr>
              <w:keepNext/>
              <w:topLinePunct/>
              <w:adjustRightInd w:val="0"/>
              <w:snapToGrid w:val="0"/>
              <w:jc w:val="center"/>
              <w:rPr>
                <w:rFonts w:hint="eastAsia" w:ascii="宋体" w:hAnsi="宋体" w:eastAsia="宋体" w:cs="宋体"/>
                <w:b/>
                <w:color w:val="auto"/>
                <w:szCs w:val="21"/>
                <w:highlight w:val="none"/>
              </w:rPr>
            </w:pPr>
          </w:p>
        </w:tc>
        <w:tc>
          <w:tcPr>
            <w:tcW w:w="1259" w:type="dxa"/>
          </w:tcPr>
          <w:p w14:paraId="39624475">
            <w:pPr>
              <w:keepNext/>
              <w:topLinePunct/>
              <w:adjustRightInd w:val="0"/>
              <w:snapToGrid w:val="0"/>
              <w:jc w:val="center"/>
              <w:rPr>
                <w:rFonts w:hint="eastAsia" w:ascii="宋体" w:hAnsi="宋体" w:eastAsia="宋体" w:cs="宋体"/>
                <w:b/>
                <w:color w:val="auto"/>
                <w:szCs w:val="21"/>
                <w:highlight w:val="none"/>
              </w:rPr>
            </w:pPr>
          </w:p>
        </w:tc>
      </w:tr>
      <w:tr w14:paraId="1A24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79370F8">
            <w:pPr>
              <w:keepNext/>
              <w:topLinePunct/>
              <w:spacing w:line="360" w:lineRule="auto"/>
              <w:ind w:firstLine="422"/>
              <w:jc w:val="center"/>
              <w:rPr>
                <w:rFonts w:hint="eastAsia" w:ascii="宋体" w:hAnsi="宋体" w:eastAsia="宋体" w:cs="宋体"/>
                <w:b/>
                <w:color w:val="auto"/>
                <w:szCs w:val="21"/>
                <w:highlight w:val="none"/>
              </w:rPr>
            </w:pPr>
          </w:p>
        </w:tc>
        <w:tc>
          <w:tcPr>
            <w:tcW w:w="1351" w:type="dxa"/>
          </w:tcPr>
          <w:p w14:paraId="7884EB99">
            <w:pPr>
              <w:keepNext/>
              <w:topLinePunct/>
              <w:spacing w:line="360" w:lineRule="auto"/>
              <w:ind w:firstLine="422"/>
              <w:jc w:val="center"/>
              <w:rPr>
                <w:rFonts w:hint="eastAsia" w:ascii="宋体" w:hAnsi="宋体" w:eastAsia="宋体" w:cs="宋体"/>
                <w:b/>
                <w:color w:val="auto"/>
                <w:szCs w:val="21"/>
                <w:highlight w:val="none"/>
              </w:rPr>
            </w:pPr>
          </w:p>
        </w:tc>
        <w:tc>
          <w:tcPr>
            <w:tcW w:w="1560" w:type="dxa"/>
          </w:tcPr>
          <w:p w14:paraId="03462000">
            <w:pPr>
              <w:keepNext/>
              <w:topLinePunct/>
              <w:spacing w:line="360" w:lineRule="auto"/>
              <w:ind w:firstLine="422"/>
              <w:jc w:val="center"/>
              <w:rPr>
                <w:rFonts w:hint="eastAsia" w:ascii="宋体" w:hAnsi="宋体" w:eastAsia="宋体" w:cs="宋体"/>
                <w:b/>
                <w:color w:val="auto"/>
                <w:szCs w:val="21"/>
                <w:highlight w:val="none"/>
              </w:rPr>
            </w:pPr>
          </w:p>
        </w:tc>
        <w:tc>
          <w:tcPr>
            <w:tcW w:w="1234" w:type="dxa"/>
          </w:tcPr>
          <w:p w14:paraId="2A9FD063">
            <w:pPr>
              <w:keepNext/>
              <w:topLinePunct/>
              <w:spacing w:line="360" w:lineRule="auto"/>
              <w:ind w:firstLine="422"/>
              <w:jc w:val="center"/>
              <w:rPr>
                <w:rFonts w:hint="eastAsia" w:ascii="宋体" w:hAnsi="宋体" w:eastAsia="宋体" w:cs="宋体"/>
                <w:b/>
                <w:color w:val="auto"/>
                <w:szCs w:val="21"/>
                <w:highlight w:val="none"/>
              </w:rPr>
            </w:pPr>
          </w:p>
        </w:tc>
        <w:tc>
          <w:tcPr>
            <w:tcW w:w="1146" w:type="dxa"/>
          </w:tcPr>
          <w:p w14:paraId="593E4352">
            <w:pPr>
              <w:keepNext/>
              <w:topLinePunct/>
              <w:spacing w:line="360" w:lineRule="auto"/>
              <w:ind w:firstLine="422"/>
              <w:jc w:val="center"/>
              <w:rPr>
                <w:rFonts w:hint="eastAsia" w:ascii="宋体" w:hAnsi="宋体" w:eastAsia="宋体" w:cs="宋体"/>
                <w:b/>
                <w:color w:val="auto"/>
                <w:szCs w:val="21"/>
                <w:highlight w:val="none"/>
              </w:rPr>
            </w:pPr>
          </w:p>
        </w:tc>
        <w:tc>
          <w:tcPr>
            <w:tcW w:w="1729" w:type="dxa"/>
          </w:tcPr>
          <w:p w14:paraId="6C841853">
            <w:pPr>
              <w:keepNext/>
              <w:topLinePunct/>
              <w:spacing w:line="360" w:lineRule="auto"/>
              <w:ind w:firstLine="422"/>
              <w:jc w:val="center"/>
              <w:rPr>
                <w:rFonts w:hint="eastAsia" w:ascii="宋体" w:hAnsi="宋体" w:eastAsia="宋体" w:cs="宋体"/>
                <w:b/>
                <w:color w:val="auto"/>
                <w:szCs w:val="21"/>
                <w:highlight w:val="none"/>
              </w:rPr>
            </w:pPr>
          </w:p>
        </w:tc>
        <w:tc>
          <w:tcPr>
            <w:tcW w:w="1259" w:type="dxa"/>
          </w:tcPr>
          <w:p w14:paraId="7357FC94">
            <w:pPr>
              <w:keepNext/>
              <w:topLinePunct/>
              <w:spacing w:line="360" w:lineRule="auto"/>
              <w:ind w:firstLine="422"/>
              <w:rPr>
                <w:rFonts w:hint="eastAsia" w:ascii="宋体" w:hAnsi="宋体" w:eastAsia="宋体" w:cs="宋体"/>
                <w:b/>
                <w:color w:val="auto"/>
                <w:szCs w:val="21"/>
                <w:highlight w:val="none"/>
              </w:rPr>
            </w:pPr>
          </w:p>
        </w:tc>
      </w:tr>
    </w:tbl>
    <w:p w14:paraId="31704DAC">
      <w:pPr>
        <w:keepNext/>
        <w:topLinePunct/>
        <w:spacing w:line="360" w:lineRule="auto"/>
        <w:ind w:firstLine="420"/>
        <w:rPr>
          <w:rFonts w:hint="eastAsia" w:ascii="宋体" w:hAnsi="宋体" w:eastAsia="宋体" w:cs="宋体"/>
          <w:color w:val="auto"/>
          <w:szCs w:val="21"/>
          <w:highlight w:val="none"/>
        </w:rPr>
      </w:pPr>
    </w:p>
    <w:p w14:paraId="64AE7CA1">
      <w:pPr>
        <w:keepNext/>
        <w:topLinePunct/>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B85DED6">
      <w:pPr>
        <w:keepNext/>
        <w:topLinePunct/>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7B7B6F81">
      <w:pPr>
        <w:keepNext/>
        <w:tabs>
          <w:tab w:val="left" w:pos="1680"/>
        </w:tabs>
        <w:topLinePunct/>
        <w:adjustRightInd w:val="0"/>
        <w:snapToGrid w:val="0"/>
        <w:spacing w:line="360" w:lineRule="auto"/>
        <w:ind w:firstLine="480"/>
        <w:outlineLvl w:val="3"/>
        <w:rPr>
          <w:rFonts w:hint="eastAsia" w:ascii="宋体" w:hAnsi="宋体" w:eastAsia="宋体" w:cs="宋体"/>
          <w:b/>
          <w:color w:val="auto"/>
          <w:kern w:val="0"/>
          <w:sz w:val="24"/>
          <w:highlight w:val="none"/>
        </w:rPr>
      </w:pPr>
      <w:r>
        <w:rPr>
          <w:rFonts w:hint="eastAsia" w:ascii="宋体" w:hAnsi="宋体" w:eastAsia="宋体" w:cs="宋体"/>
          <w:bCs/>
          <w:color w:val="auto"/>
          <w:sz w:val="24"/>
          <w:highlight w:val="none"/>
        </w:rPr>
        <w:br w:type="page"/>
      </w:r>
      <w:r>
        <w:rPr>
          <w:rFonts w:hint="eastAsia" w:ascii="宋体" w:hAnsi="宋体" w:eastAsia="宋体" w:cs="宋体"/>
          <w:b/>
          <w:color w:val="auto"/>
          <w:kern w:val="0"/>
          <w:sz w:val="24"/>
          <w:highlight w:val="none"/>
        </w:rPr>
        <w:t>（三）正版软件承诺格式（如不涉及，此函可不提供）</w:t>
      </w:r>
    </w:p>
    <w:p w14:paraId="68905981">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p>
    <w:p w14:paraId="39678A8E">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正版软件承诺</w:t>
      </w:r>
    </w:p>
    <w:p w14:paraId="3B49A1B6">
      <w:pPr>
        <w:keepNext/>
        <w:topLinePunct/>
        <w:snapToGrid w:val="0"/>
        <w:spacing w:line="360" w:lineRule="auto"/>
        <w:ind w:firstLine="480"/>
        <w:jc w:val="left"/>
        <w:rPr>
          <w:rFonts w:hint="eastAsia" w:ascii="宋体" w:hAnsi="宋体" w:eastAsia="宋体" w:cs="宋体"/>
          <w:color w:val="auto"/>
          <w:kern w:val="0"/>
          <w:sz w:val="24"/>
          <w:highlight w:val="none"/>
          <w:u w:val="single"/>
        </w:rPr>
      </w:pPr>
    </w:p>
    <w:p w14:paraId="23967FDE">
      <w:pPr>
        <w:keepNext/>
        <w:topLinePunct/>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采购代理机构名称</w:t>
      </w:r>
      <w:r>
        <w:rPr>
          <w:rFonts w:hint="eastAsia" w:ascii="宋体" w:hAnsi="宋体" w:eastAsia="宋体" w:cs="宋体"/>
          <w:color w:val="auto"/>
          <w:sz w:val="24"/>
          <w:highlight w:val="none"/>
          <w:u w:val="single"/>
        </w:rPr>
        <w:t xml:space="preserve">  ：</w:t>
      </w:r>
    </w:p>
    <w:p w14:paraId="4904435E">
      <w:pPr>
        <w:keepNext/>
        <w:topLinePunct/>
        <w:snapToGrid w:val="0"/>
        <w:spacing w:line="360" w:lineRule="auto"/>
        <w:ind w:firstLine="480" w:firstLineChars="200"/>
        <w:rPr>
          <w:rFonts w:hint="eastAsia" w:ascii="宋体" w:hAnsi="宋体" w:eastAsia="宋体" w:cs="宋体"/>
          <w:color w:val="auto"/>
          <w:sz w:val="24"/>
          <w:highlight w:val="none"/>
        </w:rPr>
      </w:pPr>
    </w:p>
    <w:p w14:paraId="5416C765">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）的采购活动，现郑重承诺保证投报的计算机操作系统或投报的硬件产品内所涉及软件为正版软件。</w:t>
      </w:r>
    </w:p>
    <w:p w14:paraId="1BFBF044">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7378492F">
      <w:pPr>
        <w:keepNext/>
        <w:topLinePunct/>
        <w:snapToGrid w:val="0"/>
        <w:spacing w:line="360" w:lineRule="auto"/>
        <w:ind w:firstLine="480" w:firstLineChars="200"/>
        <w:rPr>
          <w:rFonts w:hint="eastAsia" w:ascii="宋体" w:hAnsi="宋体" w:eastAsia="宋体" w:cs="宋体"/>
          <w:color w:val="auto"/>
          <w:sz w:val="24"/>
          <w:highlight w:val="none"/>
        </w:rPr>
      </w:pPr>
    </w:p>
    <w:p w14:paraId="0087697A">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DFB81B3">
      <w:pPr>
        <w:keepNext/>
        <w:topLinePunct/>
        <w:snapToGrid w:val="0"/>
        <w:spacing w:line="520" w:lineRule="exact"/>
        <w:ind w:firstLine="480"/>
        <w:rPr>
          <w:rFonts w:hint="eastAsia" w:ascii="宋体" w:hAnsi="宋体" w:eastAsia="宋体" w:cs="宋体"/>
          <w:color w:val="auto"/>
          <w:sz w:val="24"/>
          <w:highlight w:val="none"/>
        </w:rPr>
      </w:pPr>
    </w:p>
    <w:p w14:paraId="376EBF31">
      <w:pPr>
        <w:keepNext/>
        <w:topLinePunct/>
        <w:snapToGrid w:val="0"/>
        <w:spacing w:line="480" w:lineRule="exact"/>
        <w:ind w:firstLine="480"/>
        <w:rPr>
          <w:rFonts w:hint="eastAsia" w:ascii="宋体" w:hAnsi="宋体" w:eastAsia="宋体" w:cs="宋体"/>
          <w:color w:val="auto"/>
          <w:sz w:val="24"/>
          <w:highlight w:val="none"/>
        </w:rPr>
      </w:pPr>
    </w:p>
    <w:p w14:paraId="0F5F426D">
      <w:pPr>
        <w:keepNext/>
        <w:topLinePunct/>
        <w:snapToGrid w:val="0"/>
        <w:spacing w:line="480" w:lineRule="exact"/>
        <w:ind w:firstLine="480"/>
        <w:rPr>
          <w:rFonts w:hint="eastAsia" w:ascii="宋体" w:hAnsi="宋体" w:eastAsia="宋体" w:cs="宋体"/>
          <w:color w:val="auto"/>
          <w:sz w:val="24"/>
          <w:highlight w:val="none"/>
        </w:rPr>
      </w:pPr>
    </w:p>
    <w:p w14:paraId="7E090C6C">
      <w:pPr>
        <w:keepNext/>
        <w:topLinePunct/>
        <w:snapToGrid w:val="0"/>
        <w:spacing w:line="480" w:lineRule="exact"/>
        <w:ind w:firstLine="480"/>
        <w:rPr>
          <w:rFonts w:hint="eastAsia" w:ascii="宋体" w:hAnsi="宋体" w:eastAsia="宋体" w:cs="宋体"/>
          <w:color w:val="auto"/>
          <w:sz w:val="24"/>
          <w:highlight w:val="none"/>
        </w:rPr>
      </w:pPr>
    </w:p>
    <w:p w14:paraId="574F4B8F">
      <w:pPr>
        <w:keepNext/>
        <w:topLinePunct/>
        <w:snapToGrid w:val="0"/>
        <w:spacing w:line="480" w:lineRule="exact"/>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1BAFCA2">
      <w:pPr>
        <w:keepNext/>
        <w:topLinePunct/>
        <w:spacing w:line="480" w:lineRule="exact"/>
        <w:ind w:firstLine="4560" w:firstLineChars="19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682B4EA5">
      <w:pPr>
        <w:keepNext/>
        <w:tabs>
          <w:tab w:val="left" w:pos="1680"/>
        </w:tabs>
        <w:topLinePunct/>
        <w:adjustRightInd w:val="0"/>
        <w:snapToGrid w:val="0"/>
        <w:spacing w:line="360" w:lineRule="auto"/>
        <w:ind w:firstLine="482"/>
        <w:outlineLvl w:val="3"/>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（四）中小企业声明（如不涉及，此函可不提供）</w:t>
      </w:r>
    </w:p>
    <w:p w14:paraId="49596BC9">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中小企业声明函（货物）</w:t>
      </w:r>
    </w:p>
    <w:p w14:paraId="658A2C92">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46B743">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u w:val="single"/>
        </w:rPr>
        <w:t xml:space="preserve">（标的名称）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E2C5C17">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u w:val="single"/>
        </w:rPr>
        <w:t xml:space="preserve">（标的名称）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0E2E890">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66B7CFB">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2B0F19F">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737F46C">
      <w:pPr>
        <w:keepNext/>
        <w:topLinePunct/>
        <w:snapToGrid w:val="0"/>
        <w:spacing w:line="360" w:lineRule="auto"/>
        <w:ind w:firstLine="480" w:firstLineChars="200"/>
        <w:rPr>
          <w:rFonts w:hint="eastAsia" w:ascii="宋体" w:hAnsi="宋体" w:eastAsia="宋体" w:cs="宋体"/>
          <w:color w:val="auto"/>
          <w:sz w:val="24"/>
          <w:highlight w:val="none"/>
        </w:rPr>
      </w:pPr>
    </w:p>
    <w:p w14:paraId="31FF9787">
      <w:pPr>
        <w:keepNext/>
        <w:topLinePunct/>
        <w:snapToGrid w:val="0"/>
        <w:spacing w:line="360" w:lineRule="auto"/>
        <w:ind w:firstLine="480" w:firstLineChars="200"/>
        <w:rPr>
          <w:rFonts w:hint="eastAsia" w:ascii="宋体" w:hAnsi="宋体" w:eastAsia="宋体" w:cs="宋体"/>
          <w:color w:val="auto"/>
          <w:sz w:val="24"/>
          <w:highlight w:val="none"/>
        </w:rPr>
      </w:pPr>
    </w:p>
    <w:p w14:paraId="4432F69A">
      <w:pPr>
        <w:keepNext/>
        <w:topLinePunct/>
        <w:snapToGrid w:val="0"/>
        <w:spacing w:line="360" w:lineRule="auto"/>
        <w:ind w:firstLine="480" w:firstLineChars="200"/>
        <w:rPr>
          <w:rFonts w:hint="eastAsia" w:ascii="宋体" w:hAnsi="宋体" w:eastAsia="宋体" w:cs="宋体"/>
          <w:color w:val="auto"/>
          <w:sz w:val="24"/>
          <w:highlight w:val="none"/>
        </w:rPr>
      </w:pPr>
    </w:p>
    <w:p w14:paraId="70804BC3">
      <w:pPr>
        <w:keepNext/>
        <w:topLinePunct/>
        <w:snapToGrid w:val="0"/>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              （盖章）</w:t>
      </w:r>
    </w:p>
    <w:p w14:paraId="29F103FF">
      <w:pPr>
        <w:keepNext/>
        <w:topLinePunct/>
        <w:snapToGrid w:val="0"/>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DEF0E57">
      <w:pPr>
        <w:keepNext/>
        <w:topLinePunct/>
        <w:spacing w:line="360" w:lineRule="auto"/>
        <w:ind w:firstLine="48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7C1AFE3E">
      <w:pPr>
        <w:keepNext/>
        <w:topLinePunct/>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1.从业人员、营业收入、资产总额填报上一年度年报数据，无上一年度数据的新成立企业可不填报。</w:t>
      </w:r>
    </w:p>
    <w:p w14:paraId="31735CED">
      <w:pPr>
        <w:keepNext/>
        <w:topLinePunct/>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2.专门面向中小企业的采购项目，此项内容作为资格条件，应在投标人资格证明文件部分上传。</w:t>
      </w:r>
    </w:p>
    <w:p w14:paraId="0298CE08">
      <w:pPr>
        <w:keepNext/>
        <w:topLinePunct/>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3.非专门面向中小企业的采购项目，如未提供，不予认可。</w:t>
      </w:r>
    </w:p>
    <w:p w14:paraId="6ED7B9D8">
      <w:pPr>
        <w:keepNext/>
        <w:tabs>
          <w:tab w:val="left" w:pos="1680"/>
        </w:tabs>
        <w:topLinePunct/>
        <w:adjustRightInd w:val="0"/>
        <w:snapToGrid w:val="0"/>
        <w:spacing w:line="360" w:lineRule="auto"/>
        <w:ind w:firstLine="482"/>
        <w:outlineLvl w:val="3"/>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kern w:val="0"/>
          <w:sz w:val="24"/>
          <w:highlight w:val="none"/>
        </w:rPr>
        <w:t>（五）残疾人福利性单位声明函（如不涉及，此函可不提供）</w:t>
      </w:r>
    </w:p>
    <w:p w14:paraId="1CED75F6">
      <w:pPr>
        <w:keepNext/>
        <w:topLinePunct/>
        <w:spacing w:line="360" w:lineRule="auto"/>
        <w:ind w:firstLine="506"/>
        <w:jc w:val="center"/>
        <w:rPr>
          <w:rFonts w:hint="eastAsia" w:ascii="宋体" w:hAnsi="宋体" w:eastAsia="宋体" w:cs="宋体"/>
          <w:b/>
          <w:color w:val="auto"/>
          <w:spacing w:val="6"/>
          <w:sz w:val="24"/>
          <w:highlight w:val="none"/>
        </w:rPr>
      </w:pPr>
    </w:p>
    <w:p w14:paraId="1CFA8C17">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残疾人福利性单位声明函</w:t>
      </w:r>
    </w:p>
    <w:p w14:paraId="624F562D">
      <w:pPr>
        <w:keepNext/>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项目（项目编号：__________）采购活动，提供本单位制造的货物，或者提供其他残疾人福利性单位制造的货物（不包括使用非残疾人福利性单位注册商标的货物）。</w:t>
      </w:r>
    </w:p>
    <w:p w14:paraId="019970AA">
      <w:pPr>
        <w:keepNext/>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5018FC">
      <w:pPr>
        <w:keepNext/>
        <w:topLinePunct/>
        <w:spacing w:line="360" w:lineRule="auto"/>
        <w:ind w:firstLine="504" w:firstLineChars="200"/>
        <w:rPr>
          <w:rFonts w:hint="eastAsia" w:ascii="宋体" w:hAnsi="宋体" w:eastAsia="宋体" w:cs="宋体"/>
          <w:color w:val="auto"/>
          <w:spacing w:val="6"/>
          <w:sz w:val="24"/>
          <w:highlight w:val="none"/>
        </w:rPr>
      </w:pPr>
    </w:p>
    <w:p w14:paraId="5D372442">
      <w:pPr>
        <w:keepNext/>
        <w:topLinePunct/>
        <w:spacing w:line="360" w:lineRule="auto"/>
        <w:ind w:firstLine="504" w:firstLineChars="200"/>
        <w:rPr>
          <w:rFonts w:hint="eastAsia" w:ascii="宋体" w:hAnsi="宋体" w:eastAsia="宋体" w:cs="宋体"/>
          <w:color w:val="auto"/>
          <w:spacing w:val="6"/>
          <w:sz w:val="24"/>
          <w:highlight w:val="none"/>
        </w:rPr>
      </w:pPr>
    </w:p>
    <w:p w14:paraId="2D5A8C73">
      <w:pPr>
        <w:pStyle w:val="30"/>
        <w:keepNext/>
        <w:topLinePunct/>
        <w:snapToGrid w:val="0"/>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44F176F3">
      <w:pPr>
        <w:keepNext/>
        <w:topLinePunct/>
        <w:spacing w:line="360" w:lineRule="auto"/>
        <w:ind w:firstLine="5040" w:firstLineChars="21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7B5D1991">
      <w:pPr>
        <w:keepNext/>
        <w:topLinePunct/>
        <w:spacing w:line="360" w:lineRule="auto"/>
        <w:ind w:firstLine="482"/>
        <w:rPr>
          <w:rFonts w:hint="eastAsia" w:ascii="宋体" w:hAnsi="宋体" w:eastAsia="宋体" w:cs="宋体"/>
          <w:b/>
          <w:color w:val="auto"/>
          <w:sz w:val="24"/>
          <w:highlight w:val="none"/>
        </w:rPr>
      </w:pPr>
    </w:p>
    <w:p w14:paraId="462092AD">
      <w:pPr>
        <w:keepNext/>
        <w:topLinePunct/>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73E54454">
      <w:pPr>
        <w:keepNext/>
        <w:topLinePunct/>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1.专门面向中小企业的采购项目，残疾人福利性单位参加本项目此项内容作为资格条件，应在投标人资格证明文件部分上传。</w:t>
      </w:r>
    </w:p>
    <w:p w14:paraId="6FF96A72">
      <w:pPr>
        <w:pStyle w:val="10"/>
        <w:keepNext/>
        <w:topLinePun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2.非专门面向中小企业的采购项目，如未提供，不予认可。</w:t>
      </w:r>
    </w:p>
    <w:p w14:paraId="3EC96725">
      <w:pPr>
        <w:keepNext/>
        <w:tabs>
          <w:tab w:val="left" w:pos="1680"/>
        </w:tabs>
        <w:topLinePunct/>
        <w:adjustRightInd w:val="0"/>
        <w:snapToGrid w:val="0"/>
        <w:spacing w:line="360" w:lineRule="auto"/>
        <w:ind w:firstLine="482"/>
        <w:outlineLvl w:val="3"/>
        <w:rPr>
          <w:rFonts w:hint="eastAsia" w:ascii="宋体" w:hAnsi="宋体" w:eastAsia="宋体" w:cs="宋体"/>
          <w:b/>
          <w:color w:val="auto"/>
          <w:kern w:val="0"/>
          <w:sz w:val="24"/>
          <w:highlight w:val="none"/>
        </w:rPr>
      </w:pPr>
      <w:r>
        <w:rPr>
          <w:rFonts w:hint="eastAsia" w:ascii="宋体" w:hAnsi="宋体" w:eastAsia="宋体" w:cs="宋体"/>
          <w:b/>
          <w:color w:val="auto"/>
          <w:kern w:val="0"/>
          <w:sz w:val="24"/>
          <w:szCs w:val="21"/>
          <w:highlight w:val="none"/>
        </w:rPr>
        <w:br w:type="page"/>
      </w:r>
      <w:r>
        <w:rPr>
          <w:rFonts w:hint="eastAsia" w:ascii="宋体" w:hAnsi="宋体" w:eastAsia="宋体" w:cs="宋体"/>
          <w:b/>
          <w:color w:val="auto"/>
          <w:kern w:val="0"/>
          <w:sz w:val="24"/>
          <w:highlight w:val="none"/>
        </w:rPr>
        <w:t>（六）监狱企业声明函（如不涉及，此函可不提供）</w:t>
      </w:r>
    </w:p>
    <w:p w14:paraId="7DE7345A">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监狱企业声明函</w:t>
      </w:r>
    </w:p>
    <w:p w14:paraId="08E0F4F1">
      <w:pPr>
        <w:keepNext/>
        <w:topLinePunct/>
        <w:snapToGrid w:val="0"/>
        <w:spacing w:line="48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本单位郑重声明，根据《关于政府采购支持监狱企业发展有关问题的通知》（财库〔2014〕68号）的规定，本单位为符合条件的监狱企业，且本单位参加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项目（项目编号：__________）采购活动，提供本单位制造的货物，或者提供其他残疾人福利性单位制造的货物（不包括使用非残疾人福利性单位注册商标的货物）。</w:t>
      </w:r>
    </w:p>
    <w:p w14:paraId="48F08E9D">
      <w:pPr>
        <w:keepNext/>
        <w:topLinePunct/>
        <w:snapToGrid w:val="0"/>
        <w:spacing w:line="48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2D099A8">
      <w:pPr>
        <w:keepNext/>
        <w:topLinePunct/>
        <w:spacing w:line="360" w:lineRule="auto"/>
        <w:ind w:firstLine="504" w:firstLineChars="200"/>
        <w:rPr>
          <w:rFonts w:hint="eastAsia" w:ascii="宋体" w:hAnsi="宋体" w:eastAsia="宋体" w:cs="宋体"/>
          <w:color w:val="auto"/>
          <w:spacing w:val="6"/>
          <w:sz w:val="24"/>
          <w:highlight w:val="none"/>
        </w:rPr>
      </w:pPr>
    </w:p>
    <w:p w14:paraId="02D9B978">
      <w:pPr>
        <w:keepNext/>
        <w:topLinePunct/>
        <w:spacing w:line="360" w:lineRule="auto"/>
        <w:ind w:firstLine="504" w:firstLineChars="200"/>
        <w:rPr>
          <w:rFonts w:hint="eastAsia" w:ascii="宋体" w:hAnsi="宋体" w:eastAsia="宋体" w:cs="宋体"/>
          <w:color w:val="auto"/>
          <w:spacing w:val="6"/>
          <w:sz w:val="24"/>
          <w:highlight w:val="none"/>
        </w:rPr>
      </w:pPr>
    </w:p>
    <w:p w14:paraId="58CCA955">
      <w:pPr>
        <w:keepNext/>
        <w:topLinePunct/>
        <w:spacing w:line="360" w:lineRule="auto"/>
        <w:ind w:firstLine="504" w:firstLineChars="200"/>
        <w:rPr>
          <w:rFonts w:hint="eastAsia" w:ascii="宋体" w:hAnsi="宋体" w:eastAsia="宋体" w:cs="宋体"/>
          <w:color w:val="auto"/>
          <w:spacing w:val="6"/>
          <w:sz w:val="24"/>
          <w:highlight w:val="none"/>
        </w:rPr>
      </w:pPr>
    </w:p>
    <w:p w14:paraId="08DA012E">
      <w:pPr>
        <w:keepNext/>
        <w:topLinePunct/>
        <w:snapToGrid w:val="0"/>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B3117BC">
      <w:pPr>
        <w:keepNext/>
        <w:topLinePunct/>
        <w:snapToGrid w:val="0"/>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02FDA21">
      <w:pPr>
        <w:keepNext/>
        <w:topLinePunct/>
        <w:snapToGrid w:val="0"/>
        <w:spacing w:line="480" w:lineRule="exact"/>
        <w:ind w:firstLine="3614" w:firstLineChars="1500"/>
        <w:textAlignment w:val="baseline"/>
        <w:rPr>
          <w:rFonts w:hint="eastAsia" w:ascii="宋体" w:hAnsi="宋体" w:eastAsia="宋体" w:cs="宋体"/>
          <w:b/>
          <w:color w:val="auto"/>
          <w:sz w:val="24"/>
          <w:highlight w:val="none"/>
        </w:rPr>
      </w:pPr>
    </w:p>
    <w:p w14:paraId="3200EE87">
      <w:pPr>
        <w:keepNext/>
        <w:topLinePunct/>
        <w:snapToGrid w:val="0"/>
        <w:spacing w:line="480" w:lineRule="exact"/>
        <w:ind w:firstLine="482" w:firstLineChars="20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附：由省级以上监狱管理局、戒毒管理局（含新疆生产建设兵团）出具的属于监狱企业的证明文件。</w:t>
      </w:r>
    </w:p>
    <w:p w14:paraId="0DFD6D69">
      <w:pPr>
        <w:keepNext/>
        <w:topLinePunct/>
        <w:snapToGrid w:val="0"/>
        <w:spacing w:line="360" w:lineRule="auto"/>
        <w:ind w:firstLine="480"/>
        <w:rPr>
          <w:rFonts w:hint="eastAsia" w:ascii="宋体" w:hAnsi="宋体" w:eastAsia="宋体" w:cs="宋体"/>
          <w:color w:val="auto"/>
          <w:sz w:val="24"/>
          <w:highlight w:val="none"/>
        </w:rPr>
      </w:pPr>
    </w:p>
    <w:p w14:paraId="13A0B96A">
      <w:pPr>
        <w:pStyle w:val="10"/>
        <w:keepNext/>
        <w:topLinePunct/>
        <w:ind w:firstLine="482"/>
        <w:rPr>
          <w:rFonts w:hint="eastAsia" w:ascii="宋体" w:hAnsi="宋体" w:eastAsia="宋体" w:cs="宋体"/>
          <w:b/>
          <w:bCs/>
          <w:color w:val="auto"/>
          <w:sz w:val="24"/>
          <w:highlight w:val="none"/>
        </w:rPr>
      </w:pPr>
    </w:p>
    <w:p w14:paraId="455A53AD">
      <w:pPr>
        <w:pStyle w:val="10"/>
        <w:keepNext/>
        <w:topLinePun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p>
    <w:p w14:paraId="4907C849">
      <w:pPr>
        <w:pStyle w:val="10"/>
        <w:keepNext/>
        <w:topLinePunct/>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1.专门面向中小企业的采购项目，监狱企业参加本项目此项内容作为资格条件，应在投标人资格证明文件部分上传。</w:t>
      </w:r>
    </w:p>
    <w:p w14:paraId="4ED83CE0">
      <w:pPr>
        <w:pStyle w:val="10"/>
        <w:keepNext/>
        <w:topLinePunct/>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2.非专门面向中小企业的采购项目，如未提供，不予认可。</w:t>
      </w:r>
    </w:p>
    <w:p w14:paraId="5748C51B">
      <w:pPr>
        <w:keepNext/>
        <w:tabs>
          <w:tab w:val="left" w:pos="1680"/>
        </w:tabs>
        <w:topLinePunct/>
        <w:adjustRightInd w:val="0"/>
        <w:snapToGrid w:val="0"/>
        <w:spacing w:line="360" w:lineRule="auto"/>
        <w:ind w:firstLine="482"/>
        <w:outlineLvl w:val="3"/>
        <w:rPr>
          <w:rFonts w:hint="eastAsia" w:ascii="宋体" w:hAnsi="宋体" w:eastAsia="宋体" w:cs="宋体"/>
          <w:b/>
          <w:color w:val="auto"/>
          <w:kern w:val="0"/>
          <w:sz w:val="24"/>
          <w:highlight w:val="none"/>
        </w:rPr>
      </w:pPr>
      <w:r>
        <w:rPr>
          <w:rFonts w:hint="eastAsia" w:ascii="宋体" w:hAnsi="宋体" w:eastAsia="宋体" w:cs="宋体"/>
          <w:b/>
          <w:color w:val="auto"/>
          <w:kern w:val="0"/>
          <w:sz w:val="24"/>
          <w:szCs w:val="21"/>
          <w:highlight w:val="none"/>
        </w:rPr>
        <w:br w:type="page"/>
      </w:r>
      <w:r>
        <w:rPr>
          <w:rFonts w:hint="eastAsia" w:ascii="宋体" w:hAnsi="宋体" w:eastAsia="宋体" w:cs="宋体"/>
          <w:b/>
          <w:color w:val="auto"/>
          <w:kern w:val="0"/>
          <w:sz w:val="24"/>
          <w:highlight w:val="none"/>
        </w:rPr>
        <w:t>（七）联合体投标协议书（如不涉及，此函可不提供）</w:t>
      </w:r>
    </w:p>
    <w:p w14:paraId="18D5EAB4">
      <w:pPr>
        <w:keepNext/>
        <w:topLinePunct/>
        <w:snapToGrid w:val="0"/>
        <w:spacing w:line="360" w:lineRule="auto"/>
        <w:ind w:firstLine="480"/>
        <w:rPr>
          <w:rFonts w:hint="eastAsia" w:ascii="宋体" w:hAnsi="宋体" w:eastAsia="宋体" w:cs="宋体"/>
          <w:color w:val="auto"/>
          <w:kern w:val="0"/>
          <w:sz w:val="24"/>
          <w:highlight w:val="none"/>
        </w:rPr>
      </w:pPr>
    </w:p>
    <w:p w14:paraId="60CBE950">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 xml:space="preserve"> 《联合投标协议书》格式</w:t>
      </w:r>
    </w:p>
    <w:p w14:paraId="300AD11C">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p>
    <w:p w14:paraId="28686A36">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联合各方：</w:t>
      </w:r>
    </w:p>
    <w:p w14:paraId="465FF6B9">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7F01E68A">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1D66B93">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p w14:paraId="6CD18F1E">
      <w:pPr>
        <w:keepNext/>
        <w:topLinePunct/>
        <w:spacing w:line="360" w:lineRule="auto"/>
        <w:ind w:firstLine="480" w:firstLineChars="200"/>
        <w:jc w:val="left"/>
        <w:rPr>
          <w:rFonts w:hint="eastAsia" w:ascii="宋体" w:hAnsi="宋体" w:eastAsia="宋体" w:cs="宋体"/>
          <w:color w:val="auto"/>
          <w:sz w:val="24"/>
          <w:highlight w:val="none"/>
        </w:rPr>
      </w:pPr>
    </w:p>
    <w:p w14:paraId="74DFF530">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1EF4AA6C">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219D06B">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p w14:paraId="63543908">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（如果有的话，可按甲、乙、丙、丁…序列增加）</w:t>
      </w:r>
    </w:p>
    <w:p w14:paraId="0C5700FA">
      <w:pPr>
        <w:keepNext/>
        <w:topLinePunct/>
        <w:spacing w:line="360" w:lineRule="auto"/>
        <w:ind w:firstLine="480" w:firstLineChars="200"/>
        <w:rPr>
          <w:rFonts w:hint="eastAsia" w:ascii="宋体" w:hAnsi="宋体" w:eastAsia="宋体" w:cs="宋体"/>
          <w:color w:val="auto"/>
          <w:sz w:val="24"/>
          <w:highlight w:val="none"/>
        </w:rPr>
      </w:pPr>
    </w:p>
    <w:p w14:paraId="4210E8C5">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根据《中华人民共和国政府采购法》第二十四条之规定，为响应</w:t>
      </w:r>
      <w:r>
        <w:rPr>
          <w:rFonts w:hint="eastAsia" w:ascii="宋体" w:hAnsi="宋体" w:eastAsia="宋体" w:cs="宋体"/>
          <w:color w:val="auto"/>
          <w:sz w:val="24"/>
          <w:szCs w:val="24"/>
          <w:highlight w:val="none"/>
          <w:u w:val="single"/>
        </w:rPr>
        <w:t xml:space="preserve">   采购代理机构名称    </w:t>
      </w:r>
      <w:r>
        <w:rPr>
          <w:rFonts w:hint="eastAsia" w:ascii="宋体" w:hAnsi="宋体" w:eastAsia="宋体" w:cs="宋体"/>
          <w:color w:val="auto"/>
          <w:sz w:val="24"/>
          <w:szCs w:val="24"/>
          <w:highlight w:val="none"/>
        </w:rPr>
        <w:t>组织实施的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      ）的采购活动，经各方经协商，愿组成联合参加本项目投标事宜，并达成如下协议：</w:t>
      </w:r>
    </w:p>
    <w:p w14:paraId="34A2EF68">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一、各方一致决定，以 </w:t>
      </w:r>
      <w:r>
        <w:rPr>
          <w:rFonts w:hint="eastAsia" w:ascii="宋体" w:hAnsi="宋体" w:eastAsia="宋体" w:cs="宋体"/>
          <w:color w:val="auto"/>
          <w:sz w:val="24"/>
          <w:szCs w:val="24"/>
          <w:highlight w:val="none"/>
          <w:u w:val="single"/>
        </w:rPr>
        <w:t xml:space="preserve">    联合体一方名称   </w:t>
      </w:r>
      <w:r>
        <w:rPr>
          <w:rFonts w:hint="eastAsia" w:ascii="宋体" w:hAnsi="宋体" w:eastAsia="宋体" w:cs="宋体"/>
          <w:color w:val="auto"/>
          <w:sz w:val="24"/>
          <w:szCs w:val="24"/>
          <w:highlight w:val="none"/>
        </w:rPr>
        <w:t>为主办人进行投标，并按照招标文件的规定分别提交资格文件。</w:t>
      </w:r>
    </w:p>
    <w:p w14:paraId="3B1CE3C1">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次投标过程中，主办人法定代表人或授权代理人根据招标文件规定及报价内容而对采购人所作的任何合法承诺，包括书面澄清及响应等均对联合投标各方产生约束力。如果中标并签订合同，则联合各方将共同履行对采购人所负有的全部义务并就采购合同约定的事项对采购人承担连带责任。</w:t>
      </w:r>
    </w:p>
    <w:p w14:paraId="1FFFEDF0">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三、联合其余各方保证对主办人为响应本次投标而提供的货物和相关服务，提供全部质量保证及售后服务支持。</w:t>
      </w:r>
    </w:p>
    <w:p w14:paraId="02126AE4">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四、本次联合投标中，甲方承担的工作和义务为：</w:t>
      </w:r>
    </w:p>
    <w:p w14:paraId="62F6A11B">
      <w:pPr>
        <w:pStyle w:val="30"/>
        <w:keepNext/>
        <w:topLinePunct/>
        <w:snapToGrid w:val="0"/>
        <w:spacing w:line="360" w:lineRule="auto"/>
        <w:ind w:firstLine="480" w:firstLineChars="200"/>
        <w:rPr>
          <w:rFonts w:hint="eastAsia" w:ascii="宋体" w:hAnsi="宋体" w:eastAsia="宋体" w:cs="宋体"/>
          <w:color w:val="auto"/>
          <w:sz w:val="24"/>
          <w:szCs w:val="24"/>
          <w:highlight w:val="none"/>
        </w:rPr>
      </w:pPr>
    </w:p>
    <w:p w14:paraId="1F905C88">
      <w:pPr>
        <w:pStyle w:val="30"/>
        <w:keepNext/>
        <w:topLinePunct/>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乙方承担的工作和义务为：</w:t>
      </w:r>
    </w:p>
    <w:p w14:paraId="2C9EF210">
      <w:pPr>
        <w:pStyle w:val="30"/>
        <w:keepNext/>
        <w:topLinePunct/>
        <w:snapToGrid w:val="0"/>
        <w:spacing w:line="360" w:lineRule="auto"/>
        <w:ind w:firstLine="480" w:firstLineChars="200"/>
        <w:rPr>
          <w:rFonts w:hint="eastAsia" w:ascii="宋体" w:hAnsi="宋体" w:eastAsia="宋体" w:cs="宋体"/>
          <w:color w:val="auto"/>
          <w:sz w:val="24"/>
          <w:szCs w:val="24"/>
          <w:highlight w:val="none"/>
        </w:rPr>
      </w:pPr>
    </w:p>
    <w:p w14:paraId="00D837EE">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五、本协议提交后，联合体各方不得以任何形式对上述实质内容进行修改或撤销。</w:t>
      </w:r>
    </w:p>
    <w:p w14:paraId="2A070DEC">
      <w:pPr>
        <w:pStyle w:val="30"/>
        <w:keepNext/>
        <w:topLinePunct/>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六、本协议一式三份，甲、乙双方各持一份，另一份作为投标文件的组成部分。</w:t>
      </w:r>
    </w:p>
    <w:p w14:paraId="6B55E69F">
      <w:pPr>
        <w:keepNext/>
        <w:topLinePunct/>
        <w:spacing w:line="360" w:lineRule="auto"/>
        <w:ind w:firstLine="480"/>
        <w:rPr>
          <w:rFonts w:hint="eastAsia" w:ascii="宋体" w:hAnsi="宋体" w:eastAsia="宋体" w:cs="宋体"/>
          <w:color w:val="auto"/>
          <w:sz w:val="24"/>
          <w:highlight w:val="none"/>
        </w:rPr>
      </w:pPr>
    </w:p>
    <w:p w14:paraId="2C25BF07">
      <w:pPr>
        <w:keepNext/>
        <w:topLinePunct/>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附件：联合体各方资质等级证明文件</w:t>
      </w:r>
    </w:p>
    <w:p w14:paraId="51367730">
      <w:pPr>
        <w:keepNext/>
        <w:topLinePunct/>
        <w:spacing w:line="360" w:lineRule="auto"/>
        <w:ind w:firstLine="480"/>
        <w:rPr>
          <w:rFonts w:hint="eastAsia" w:ascii="宋体" w:hAnsi="宋体" w:eastAsia="宋体" w:cs="宋体"/>
          <w:color w:val="auto"/>
          <w:sz w:val="24"/>
          <w:highlight w:val="none"/>
        </w:rPr>
      </w:pPr>
    </w:p>
    <w:p w14:paraId="2F91CF57">
      <w:pPr>
        <w:keepNext/>
        <w:topLinePunct/>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14:paraId="481F304B">
      <w:pPr>
        <w:keepNext/>
        <w:topLinePunct/>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                    法定代表人（签字）：</w:t>
      </w:r>
    </w:p>
    <w:p w14:paraId="3470D229">
      <w:pPr>
        <w:pStyle w:val="10"/>
        <w:keepNext/>
        <w:topLinePunct/>
        <w:ind w:firstLine="480"/>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20  年  月  日                          20  年  月  日</w:t>
      </w:r>
    </w:p>
    <w:p w14:paraId="0E3D3262">
      <w:pPr>
        <w:keepNext/>
        <w:topLinePunct/>
        <w:adjustRightInd w:val="0"/>
        <w:snapToGrid w:val="0"/>
        <w:spacing w:line="360" w:lineRule="auto"/>
        <w:ind w:firstLine="420"/>
        <w:rPr>
          <w:rFonts w:hint="eastAsia" w:ascii="宋体" w:hAnsi="宋体" w:eastAsia="宋体" w:cs="宋体"/>
          <w:color w:val="auto"/>
          <w:highlight w:val="none"/>
        </w:rPr>
      </w:pPr>
    </w:p>
    <w:p w14:paraId="5FBB667D">
      <w:pPr>
        <w:pStyle w:val="5"/>
        <w:keepNext/>
        <w:topLinePunct/>
        <w:ind w:firstLine="420"/>
        <w:rPr>
          <w:rFonts w:hint="eastAsia" w:ascii="宋体" w:hAnsi="宋体" w:eastAsia="宋体" w:cs="宋体"/>
          <w:color w:val="auto"/>
          <w:highlight w:val="none"/>
        </w:rPr>
      </w:pPr>
    </w:p>
    <w:p w14:paraId="6A89FFEB">
      <w:pPr>
        <w:keepNext/>
        <w:topLinePunct/>
        <w:ind w:firstLine="420"/>
        <w:rPr>
          <w:rFonts w:hint="eastAsia" w:ascii="宋体" w:hAnsi="宋体" w:eastAsia="宋体" w:cs="宋体"/>
          <w:color w:val="auto"/>
          <w:highlight w:val="none"/>
        </w:rPr>
      </w:pPr>
    </w:p>
    <w:p w14:paraId="65661333">
      <w:pPr>
        <w:pStyle w:val="5"/>
        <w:keepNext/>
        <w:topLinePunct/>
        <w:ind w:firstLine="420"/>
        <w:rPr>
          <w:rFonts w:hint="eastAsia" w:ascii="宋体" w:hAnsi="宋体" w:eastAsia="宋体" w:cs="宋体"/>
          <w:color w:val="auto"/>
          <w:highlight w:val="none"/>
        </w:rPr>
      </w:pPr>
    </w:p>
    <w:p w14:paraId="57701C4C">
      <w:pPr>
        <w:keepNext/>
        <w:topLinePunct/>
        <w:ind w:firstLine="420"/>
        <w:rPr>
          <w:rFonts w:hint="eastAsia" w:ascii="宋体" w:hAnsi="宋体" w:eastAsia="宋体" w:cs="宋体"/>
          <w:color w:val="auto"/>
          <w:highlight w:val="none"/>
        </w:rPr>
      </w:pPr>
    </w:p>
    <w:p w14:paraId="526F3E39">
      <w:pPr>
        <w:pStyle w:val="5"/>
        <w:keepNext/>
        <w:topLinePunct/>
        <w:ind w:firstLine="420"/>
        <w:rPr>
          <w:rFonts w:hint="eastAsia" w:ascii="宋体" w:hAnsi="宋体" w:eastAsia="宋体" w:cs="宋体"/>
          <w:color w:val="auto"/>
          <w:highlight w:val="none"/>
        </w:rPr>
      </w:pPr>
    </w:p>
    <w:p w14:paraId="5262F2AA">
      <w:pPr>
        <w:keepNext/>
        <w:topLinePunct/>
        <w:ind w:firstLine="420"/>
        <w:rPr>
          <w:rFonts w:hint="eastAsia" w:ascii="宋体" w:hAnsi="宋体" w:eastAsia="宋体" w:cs="宋体"/>
          <w:color w:val="auto"/>
          <w:highlight w:val="none"/>
        </w:rPr>
      </w:pPr>
    </w:p>
    <w:p w14:paraId="1E505F9F">
      <w:pPr>
        <w:pStyle w:val="5"/>
        <w:keepNext/>
        <w:topLinePunct/>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7A540DB">
      <w:pPr>
        <w:pStyle w:val="5"/>
        <w:keepNext/>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如本项目允许联合体参加，本项目此项内容作为资格条件，应在投标人资格证明文件部分上传。</w:t>
      </w:r>
    </w:p>
    <w:p w14:paraId="79D9306E">
      <w:pPr>
        <w:pStyle w:val="5"/>
        <w:keepNext/>
        <w:topLinePunct/>
        <w:spacing w:line="360" w:lineRule="auto"/>
        <w:ind w:firstLine="480" w:firstLineChars="200"/>
        <w:rPr>
          <w:rFonts w:hint="eastAsia" w:ascii="宋体" w:hAnsi="宋体" w:eastAsia="宋体" w:cs="宋体"/>
          <w:color w:val="auto"/>
          <w:sz w:val="24"/>
          <w:szCs w:val="24"/>
          <w:highlight w:val="none"/>
        </w:rPr>
      </w:pPr>
    </w:p>
    <w:p w14:paraId="3F014461">
      <w:pPr>
        <w:rPr>
          <w:b/>
          <w:color w:val="auto"/>
          <w:kern w:val="0"/>
          <w:sz w:val="24"/>
          <w:highlight w:val="none"/>
        </w:rPr>
      </w:pPr>
      <w:bookmarkStart w:id="86" w:name="_Toc10214"/>
      <w:r>
        <w:rPr>
          <w:b/>
          <w:color w:val="auto"/>
          <w:kern w:val="0"/>
          <w:sz w:val="24"/>
          <w:highlight w:val="none"/>
        </w:rPr>
        <w:br w:type="page"/>
      </w:r>
    </w:p>
    <w:p w14:paraId="653B7097">
      <w:pPr>
        <w:spacing w:line="360" w:lineRule="auto"/>
        <w:rPr>
          <w:b/>
          <w:color w:val="auto"/>
          <w:kern w:val="0"/>
          <w:sz w:val="24"/>
          <w:highlight w:val="none"/>
        </w:rPr>
      </w:pPr>
      <w:r>
        <w:rPr>
          <w:b/>
          <w:color w:val="auto"/>
          <w:kern w:val="0"/>
          <w:sz w:val="24"/>
          <w:highlight w:val="none"/>
        </w:rPr>
        <w:t>（</w:t>
      </w:r>
      <w:r>
        <w:rPr>
          <w:rFonts w:hint="eastAsia"/>
          <w:b/>
          <w:color w:val="auto"/>
          <w:kern w:val="0"/>
          <w:sz w:val="24"/>
          <w:highlight w:val="none"/>
        </w:rPr>
        <w:t>八</w:t>
      </w:r>
      <w:r>
        <w:rPr>
          <w:b/>
          <w:color w:val="auto"/>
          <w:kern w:val="0"/>
          <w:sz w:val="24"/>
          <w:highlight w:val="none"/>
        </w:rPr>
        <w:t>）</w:t>
      </w:r>
      <w:bookmarkStart w:id="87" w:name="_Hlk171515082"/>
      <w:r>
        <w:rPr>
          <w:rFonts w:hint="eastAsia"/>
          <w:b/>
          <w:color w:val="auto"/>
          <w:kern w:val="0"/>
          <w:sz w:val="24"/>
          <w:highlight w:val="none"/>
        </w:rPr>
        <w:t>创新产品（或者：服务）</w:t>
      </w:r>
      <w:bookmarkEnd w:id="87"/>
      <w:r>
        <w:rPr>
          <w:rFonts w:hint="eastAsia"/>
          <w:b/>
          <w:color w:val="auto"/>
          <w:kern w:val="0"/>
          <w:sz w:val="24"/>
          <w:highlight w:val="none"/>
        </w:rPr>
        <w:t>证明材料</w:t>
      </w:r>
      <w:r>
        <w:rPr>
          <w:rFonts w:hint="eastAsia"/>
          <w:b/>
          <w:bCs w:val="0"/>
          <w:color w:val="auto"/>
          <w:sz w:val="24"/>
          <w:highlight w:val="none"/>
        </w:rPr>
        <w:t>（如不涉及，可不提供）</w:t>
      </w:r>
    </w:p>
    <w:p w14:paraId="51F151B4">
      <w:pPr>
        <w:spacing w:line="360" w:lineRule="auto"/>
        <w:jc w:val="center"/>
        <w:rPr>
          <w:rFonts w:hint="eastAsia"/>
          <w:color w:val="auto"/>
          <w:highlight w:val="none"/>
        </w:rPr>
      </w:pPr>
      <w:r>
        <w:rPr>
          <w:rFonts w:hint="eastAsia"/>
          <w:b/>
          <w:color w:val="auto"/>
          <w:sz w:val="24"/>
          <w:highlight w:val="none"/>
        </w:rPr>
        <w:t>创新产品（或者：服务）明细表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905"/>
        <w:gridCol w:w="2200"/>
        <w:gridCol w:w="1886"/>
        <w:gridCol w:w="2191"/>
      </w:tblGrid>
      <w:tr w14:paraId="48BD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19" w:type="dxa"/>
            <w:noWrap w:val="0"/>
            <w:vAlign w:val="center"/>
          </w:tcPr>
          <w:p w14:paraId="4C2E4D69">
            <w:pPr>
              <w:spacing w:line="360" w:lineRule="auto"/>
              <w:jc w:val="center"/>
              <w:rPr>
                <w:b/>
                <w:color w:val="auto"/>
                <w:szCs w:val="21"/>
                <w:highlight w:val="none"/>
              </w:rPr>
            </w:pPr>
            <w:r>
              <w:rPr>
                <w:b/>
                <w:color w:val="auto"/>
                <w:szCs w:val="21"/>
                <w:highlight w:val="none"/>
              </w:rPr>
              <w:t>包号</w:t>
            </w:r>
          </w:p>
        </w:tc>
        <w:tc>
          <w:tcPr>
            <w:tcW w:w="1905" w:type="dxa"/>
            <w:noWrap w:val="0"/>
            <w:vAlign w:val="center"/>
          </w:tcPr>
          <w:p w14:paraId="37B7603C">
            <w:pPr>
              <w:spacing w:line="360" w:lineRule="auto"/>
              <w:jc w:val="center"/>
              <w:rPr>
                <w:b/>
                <w:color w:val="auto"/>
                <w:szCs w:val="21"/>
                <w:highlight w:val="none"/>
              </w:rPr>
            </w:pPr>
            <w:r>
              <w:rPr>
                <w:b/>
                <w:color w:val="auto"/>
                <w:szCs w:val="21"/>
                <w:highlight w:val="none"/>
              </w:rPr>
              <w:t>产品名称</w:t>
            </w:r>
          </w:p>
        </w:tc>
        <w:tc>
          <w:tcPr>
            <w:tcW w:w="2200" w:type="dxa"/>
            <w:noWrap w:val="0"/>
            <w:vAlign w:val="center"/>
          </w:tcPr>
          <w:p w14:paraId="608D40E5">
            <w:pPr>
              <w:spacing w:line="360" w:lineRule="auto"/>
              <w:jc w:val="center"/>
              <w:rPr>
                <w:b/>
                <w:color w:val="auto"/>
                <w:szCs w:val="21"/>
                <w:highlight w:val="none"/>
              </w:rPr>
            </w:pPr>
            <w:r>
              <w:rPr>
                <w:b/>
                <w:color w:val="auto"/>
                <w:szCs w:val="21"/>
                <w:highlight w:val="none"/>
              </w:rPr>
              <w:t>型号</w:t>
            </w:r>
            <w:r>
              <w:rPr>
                <w:rFonts w:hint="eastAsia"/>
                <w:b/>
                <w:color w:val="auto"/>
                <w:szCs w:val="21"/>
                <w:highlight w:val="none"/>
              </w:rPr>
              <w:t>规格</w:t>
            </w:r>
          </w:p>
        </w:tc>
        <w:tc>
          <w:tcPr>
            <w:tcW w:w="1886" w:type="dxa"/>
            <w:noWrap w:val="0"/>
            <w:vAlign w:val="center"/>
          </w:tcPr>
          <w:p w14:paraId="5C9CE44E">
            <w:pPr>
              <w:spacing w:line="360" w:lineRule="auto"/>
              <w:jc w:val="center"/>
              <w:rPr>
                <w:b/>
                <w:color w:val="auto"/>
                <w:szCs w:val="21"/>
                <w:highlight w:val="none"/>
              </w:rPr>
            </w:pPr>
            <w:r>
              <w:rPr>
                <w:b/>
                <w:color w:val="auto"/>
                <w:szCs w:val="21"/>
                <w:highlight w:val="none"/>
              </w:rPr>
              <w:t>制造商</w:t>
            </w:r>
          </w:p>
        </w:tc>
        <w:tc>
          <w:tcPr>
            <w:tcW w:w="2191" w:type="dxa"/>
            <w:noWrap w:val="0"/>
            <w:vAlign w:val="center"/>
          </w:tcPr>
          <w:p w14:paraId="7C56A928">
            <w:pPr>
              <w:jc w:val="center"/>
              <w:rPr>
                <w:b/>
                <w:color w:val="auto"/>
                <w:szCs w:val="21"/>
                <w:highlight w:val="none"/>
              </w:rPr>
            </w:pPr>
            <w:r>
              <w:rPr>
                <w:rFonts w:hint="eastAsia" w:ascii="宋体" w:hAnsi="宋体" w:cs="宋体"/>
                <w:b/>
                <w:color w:val="auto"/>
                <w:szCs w:val="21"/>
                <w:highlight w:val="none"/>
              </w:rPr>
              <w:t>备注</w:t>
            </w:r>
          </w:p>
        </w:tc>
      </w:tr>
      <w:tr w14:paraId="3EEE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19" w:type="dxa"/>
            <w:noWrap w:val="0"/>
            <w:vAlign w:val="top"/>
          </w:tcPr>
          <w:p w14:paraId="256DDC1B">
            <w:pPr>
              <w:spacing w:line="360" w:lineRule="auto"/>
              <w:jc w:val="center"/>
              <w:rPr>
                <w:b/>
                <w:color w:val="auto"/>
                <w:szCs w:val="21"/>
                <w:highlight w:val="none"/>
              </w:rPr>
            </w:pPr>
          </w:p>
        </w:tc>
        <w:tc>
          <w:tcPr>
            <w:tcW w:w="1905" w:type="dxa"/>
            <w:noWrap w:val="0"/>
            <w:vAlign w:val="top"/>
          </w:tcPr>
          <w:p w14:paraId="6B082E44">
            <w:pPr>
              <w:spacing w:line="360" w:lineRule="auto"/>
              <w:jc w:val="center"/>
              <w:rPr>
                <w:b/>
                <w:color w:val="auto"/>
                <w:szCs w:val="21"/>
                <w:highlight w:val="none"/>
              </w:rPr>
            </w:pPr>
          </w:p>
        </w:tc>
        <w:tc>
          <w:tcPr>
            <w:tcW w:w="2200" w:type="dxa"/>
            <w:noWrap w:val="0"/>
            <w:vAlign w:val="top"/>
          </w:tcPr>
          <w:p w14:paraId="33851C9A">
            <w:pPr>
              <w:spacing w:line="360" w:lineRule="auto"/>
              <w:jc w:val="center"/>
              <w:rPr>
                <w:b/>
                <w:color w:val="auto"/>
                <w:szCs w:val="21"/>
                <w:highlight w:val="none"/>
              </w:rPr>
            </w:pPr>
          </w:p>
        </w:tc>
        <w:tc>
          <w:tcPr>
            <w:tcW w:w="1886" w:type="dxa"/>
            <w:noWrap w:val="0"/>
            <w:vAlign w:val="top"/>
          </w:tcPr>
          <w:p w14:paraId="39A596CF">
            <w:pPr>
              <w:spacing w:line="360" w:lineRule="auto"/>
              <w:jc w:val="center"/>
              <w:rPr>
                <w:b/>
                <w:color w:val="auto"/>
                <w:szCs w:val="21"/>
                <w:highlight w:val="none"/>
              </w:rPr>
            </w:pPr>
          </w:p>
        </w:tc>
        <w:tc>
          <w:tcPr>
            <w:tcW w:w="2191" w:type="dxa"/>
            <w:noWrap w:val="0"/>
            <w:vAlign w:val="top"/>
          </w:tcPr>
          <w:p w14:paraId="5AF6AA7A">
            <w:pPr>
              <w:spacing w:line="360" w:lineRule="auto"/>
              <w:rPr>
                <w:b/>
                <w:color w:val="auto"/>
                <w:szCs w:val="21"/>
                <w:highlight w:val="none"/>
              </w:rPr>
            </w:pPr>
          </w:p>
        </w:tc>
      </w:tr>
      <w:tr w14:paraId="3EBA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19" w:type="dxa"/>
            <w:noWrap w:val="0"/>
            <w:vAlign w:val="top"/>
          </w:tcPr>
          <w:p w14:paraId="1D094EB7">
            <w:pPr>
              <w:spacing w:line="360" w:lineRule="auto"/>
              <w:jc w:val="center"/>
              <w:rPr>
                <w:b/>
                <w:color w:val="auto"/>
                <w:szCs w:val="21"/>
                <w:highlight w:val="none"/>
              </w:rPr>
            </w:pPr>
          </w:p>
        </w:tc>
        <w:tc>
          <w:tcPr>
            <w:tcW w:w="1905" w:type="dxa"/>
            <w:noWrap w:val="0"/>
            <w:vAlign w:val="top"/>
          </w:tcPr>
          <w:p w14:paraId="6A721CD7">
            <w:pPr>
              <w:spacing w:line="360" w:lineRule="auto"/>
              <w:jc w:val="center"/>
              <w:rPr>
                <w:b/>
                <w:color w:val="auto"/>
                <w:szCs w:val="21"/>
                <w:highlight w:val="none"/>
              </w:rPr>
            </w:pPr>
          </w:p>
        </w:tc>
        <w:tc>
          <w:tcPr>
            <w:tcW w:w="2200" w:type="dxa"/>
            <w:noWrap w:val="0"/>
            <w:vAlign w:val="top"/>
          </w:tcPr>
          <w:p w14:paraId="5E8664C0">
            <w:pPr>
              <w:spacing w:line="360" w:lineRule="auto"/>
              <w:jc w:val="center"/>
              <w:rPr>
                <w:b/>
                <w:color w:val="auto"/>
                <w:szCs w:val="21"/>
                <w:highlight w:val="none"/>
              </w:rPr>
            </w:pPr>
          </w:p>
        </w:tc>
        <w:tc>
          <w:tcPr>
            <w:tcW w:w="1886" w:type="dxa"/>
            <w:noWrap w:val="0"/>
            <w:vAlign w:val="top"/>
          </w:tcPr>
          <w:p w14:paraId="20B75884">
            <w:pPr>
              <w:spacing w:line="360" w:lineRule="auto"/>
              <w:jc w:val="center"/>
              <w:rPr>
                <w:b/>
                <w:color w:val="auto"/>
                <w:szCs w:val="21"/>
                <w:highlight w:val="none"/>
              </w:rPr>
            </w:pPr>
          </w:p>
        </w:tc>
        <w:tc>
          <w:tcPr>
            <w:tcW w:w="2191" w:type="dxa"/>
            <w:noWrap w:val="0"/>
            <w:vAlign w:val="top"/>
          </w:tcPr>
          <w:p w14:paraId="4D559492">
            <w:pPr>
              <w:spacing w:line="360" w:lineRule="auto"/>
              <w:rPr>
                <w:b/>
                <w:color w:val="auto"/>
                <w:szCs w:val="21"/>
                <w:highlight w:val="none"/>
              </w:rPr>
            </w:pPr>
          </w:p>
        </w:tc>
      </w:tr>
      <w:tr w14:paraId="2BDD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19" w:type="dxa"/>
            <w:noWrap w:val="0"/>
            <w:vAlign w:val="top"/>
          </w:tcPr>
          <w:p w14:paraId="27A5DB53">
            <w:pPr>
              <w:spacing w:line="360" w:lineRule="auto"/>
              <w:jc w:val="center"/>
              <w:rPr>
                <w:b/>
                <w:color w:val="auto"/>
                <w:szCs w:val="21"/>
                <w:highlight w:val="none"/>
              </w:rPr>
            </w:pPr>
          </w:p>
        </w:tc>
        <w:tc>
          <w:tcPr>
            <w:tcW w:w="1905" w:type="dxa"/>
            <w:noWrap w:val="0"/>
            <w:vAlign w:val="top"/>
          </w:tcPr>
          <w:p w14:paraId="01492128">
            <w:pPr>
              <w:spacing w:line="360" w:lineRule="auto"/>
              <w:jc w:val="center"/>
              <w:rPr>
                <w:b/>
                <w:color w:val="auto"/>
                <w:szCs w:val="21"/>
                <w:highlight w:val="none"/>
              </w:rPr>
            </w:pPr>
          </w:p>
        </w:tc>
        <w:tc>
          <w:tcPr>
            <w:tcW w:w="2200" w:type="dxa"/>
            <w:noWrap w:val="0"/>
            <w:vAlign w:val="top"/>
          </w:tcPr>
          <w:p w14:paraId="6C860982">
            <w:pPr>
              <w:spacing w:line="360" w:lineRule="auto"/>
              <w:jc w:val="center"/>
              <w:rPr>
                <w:b/>
                <w:color w:val="auto"/>
                <w:szCs w:val="21"/>
                <w:highlight w:val="none"/>
              </w:rPr>
            </w:pPr>
          </w:p>
        </w:tc>
        <w:tc>
          <w:tcPr>
            <w:tcW w:w="1886" w:type="dxa"/>
            <w:noWrap w:val="0"/>
            <w:vAlign w:val="top"/>
          </w:tcPr>
          <w:p w14:paraId="4C75969F">
            <w:pPr>
              <w:spacing w:line="360" w:lineRule="auto"/>
              <w:jc w:val="center"/>
              <w:rPr>
                <w:b/>
                <w:color w:val="auto"/>
                <w:szCs w:val="21"/>
                <w:highlight w:val="none"/>
              </w:rPr>
            </w:pPr>
          </w:p>
        </w:tc>
        <w:tc>
          <w:tcPr>
            <w:tcW w:w="2191" w:type="dxa"/>
            <w:noWrap w:val="0"/>
            <w:vAlign w:val="top"/>
          </w:tcPr>
          <w:p w14:paraId="35AC0E89">
            <w:pPr>
              <w:spacing w:line="360" w:lineRule="auto"/>
              <w:rPr>
                <w:b/>
                <w:color w:val="auto"/>
                <w:szCs w:val="21"/>
                <w:highlight w:val="none"/>
              </w:rPr>
            </w:pPr>
          </w:p>
        </w:tc>
      </w:tr>
    </w:tbl>
    <w:p w14:paraId="2F11461A">
      <w:pPr>
        <w:spacing w:line="360" w:lineRule="auto"/>
        <w:jc w:val="left"/>
        <w:rPr>
          <w:rFonts w:hint="eastAsia"/>
          <w:color w:val="auto"/>
          <w:szCs w:val="21"/>
          <w:highlight w:val="none"/>
        </w:rPr>
      </w:pPr>
      <w:r>
        <w:rPr>
          <w:rFonts w:hint="eastAsia"/>
          <w:color w:val="auto"/>
          <w:szCs w:val="21"/>
          <w:highlight w:val="none"/>
        </w:rPr>
        <w:t>注：</w:t>
      </w:r>
    </w:p>
    <w:p w14:paraId="53A563DF">
      <w:pPr>
        <w:spacing w:line="360" w:lineRule="auto"/>
        <w:ind w:firstLine="420"/>
        <w:jc w:val="left"/>
        <w:rPr>
          <w:color w:val="auto"/>
          <w:szCs w:val="21"/>
          <w:highlight w:val="none"/>
        </w:rPr>
      </w:pPr>
      <w:r>
        <w:rPr>
          <w:rFonts w:hint="eastAsia"/>
          <w:color w:val="auto"/>
          <w:szCs w:val="21"/>
          <w:highlight w:val="none"/>
        </w:rPr>
        <w:t>1.如采购项目（或者：包）所投产品中包含创新产品（或者：服务）的，需如实填写，并提供《山西省创新产品和服务推荐清单》。</w:t>
      </w:r>
    </w:p>
    <w:p w14:paraId="6D73A2AA">
      <w:pPr>
        <w:spacing w:line="360" w:lineRule="auto"/>
        <w:ind w:firstLine="420" w:firstLineChars="200"/>
        <w:jc w:val="left"/>
        <w:rPr>
          <w:color w:val="auto"/>
          <w:szCs w:val="21"/>
          <w:highlight w:val="none"/>
        </w:rPr>
      </w:pPr>
      <w:r>
        <w:rPr>
          <w:rFonts w:hint="eastAsia"/>
          <w:color w:val="auto"/>
          <w:szCs w:val="21"/>
          <w:highlight w:val="none"/>
        </w:rPr>
        <w:t>2.如未按以上要求提供或未提供的，不予认可。</w:t>
      </w:r>
    </w:p>
    <w:p w14:paraId="5DD401B6">
      <w:pPr>
        <w:spacing w:line="360" w:lineRule="auto"/>
        <w:ind w:firstLine="420" w:firstLineChars="200"/>
        <w:jc w:val="left"/>
        <w:rPr>
          <w:color w:val="auto"/>
          <w:szCs w:val="21"/>
          <w:highlight w:val="none"/>
        </w:rPr>
      </w:pPr>
      <w:r>
        <w:rPr>
          <w:rFonts w:hint="eastAsia"/>
          <w:color w:val="auto"/>
          <w:szCs w:val="21"/>
          <w:highlight w:val="none"/>
        </w:rPr>
        <w:t>3.以包为单位分别填写，如采购项目（或者：包）所投产品中不涉及创新产品（或者：服务），可不提供此表。</w:t>
      </w:r>
    </w:p>
    <w:p w14:paraId="219279C5">
      <w:pPr>
        <w:spacing w:line="360" w:lineRule="auto"/>
        <w:rPr>
          <w:color w:val="auto"/>
          <w:highlight w:val="none"/>
        </w:rPr>
      </w:pPr>
    </w:p>
    <w:p w14:paraId="347ED376">
      <w:pPr>
        <w:spacing w:line="360" w:lineRule="auto"/>
        <w:rPr>
          <w:color w:val="auto"/>
          <w:highlight w:val="none"/>
        </w:rPr>
      </w:pPr>
    </w:p>
    <w:p w14:paraId="4453B2C5">
      <w:pPr>
        <w:spacing w:line="360" w:lineRule="auto"/>
        <w:rPr>
          <w:b/>
          <w:color w:val="auto"/>
          <w:kern w:val="0"/>
          <w:sz w:val="24"/>
          <w:highlight w:val="none"/>
        </w:rPr>
      </w:pPr>
      <w:r>
        <w:rPr>
          <w:b/>
          <w:bCs/>
          <w:color w:val="auto"/>
          <w:kern w:val="0"/>
          <w:sz w:val="36"/>
          <w:szCs w:val="36"/>
          <w:highlight w:val="none"/>
        </w:rPr>
        <w:br w:type="page"/>
      </w:r>
      <w:r>
        <w:rPr>
          <w:b/>
          <w:color w:val="auto"/>
          <w:kern w:val="0"/>
          <w:sz w:val="24"/>
          <w:highlight w:val="none"/>
        </w:rPr>
        <w:t>（</w:t>
      </w:r>
      <w:r>
        <w:rPr>
          <w:rFonts w:hint="eastAsia"/>
          <w:b/>
          <w:color w:val="auto"/>
          <w:kern w:val="0"/>
          <w:sz w:val="24"/>
          <w:highlight w:val="none"/>
        </w:rPr>
        <w:t>九</w:t>
      </w:r>
      <w:r>
        <w:rPr>
          <w:b/>
          <w:color w:val="auto"/>
          <w:kern w:val="0"/>
          <w:sz w:val="24"/>
          <w:highlight w:val="none"/>
        </w:rPr>
        <w:t>）商品包装和快递包装承诺格式</w:t>
      </w:r>
    </w:p>
    <w:p w14:paraId="0CEDC5AF">
      <w:pPr>
        <w:spacing w:line="360" w:lineRule="auto"/>
        <w:jc w:val="center"/>
        <w:rPr>
          <w:b/>
          <w:color w:val="auto"/>
          <w:sz w:val="24"/>
          <w:highlight w:val="none"/>
        </w:rPr>
      </w:pPr>
      <w:r>
        <w:rPr>
          <w:b/>
          <w:color w:val="auto"/>
          <w:sz w:val="24"/>
          <w:highlight w:val="none"/>
        </w:rPr>
        <w:t>商品包装和快递包装承诺</w:t>
      </w:r>
    </w:p>
    <w:p w14:paraId="007B2642">
      <w:pPr>
        <w:pStyle w:val="17"/>
        <w:widowControl w:val="0"/>
        <w:adjustRightInd w:val="0"/>
        <w:spacing w:before="0" w:beforeAutospacing="0" w:after="0" w:afterAutospacing="0" w:line="360" w:lineRule="auto"/>
        <w:jc w:val="both"/>
        <w:rPr>
          <w:rFonts w:ascii="Times New Roman" w:hAnsi="Times New Roman" w:eastAsia="华文中宋" w:cs="Times New Roman"/>
          <w:color w:val="auto"/>
          <w:highlight w:val="none"/>
        </w:rPr>
      </w:pPr>
    </w:p>
    <w:p w14:paraId="349A2F36">
      <w:pPr>
        <w:spacing w:line="360" w:lineRule="auto"/>
        <w:ind w:firstLine="480" w:firstLineChars="200"/>
        <w:rPr>
          <w:color w:val="auto"/>
          <w:kern w:val="0"/>
          <w:sz w:val="24"/>
          <w:highlight w:val="none"/>
        </w:rPr>
      </w:pPr>
      <w:r>
        <w:rPr>
          <w:rFonts w:hint="eastAsia"/>
          <w:color w:val="auto"/>
          <w:kern w:val="0"/>
          <w:sz w:val="24"/>
          <w:highlight w:val="none"/>
        </w:rPr>
        <w:t>我单位</w:t>
      </w:r>
      <w:r>
        <w:rPr>
          <w:color w:val="auto"/>
          <w:kern w:val="0"/>
          <w:sz w:val="24"/>
          <w:highlight w:val="none"/>
        </w:rPr>
        <w:t>现参与</w:t>
      </w:r>
      <w:r>
        <w:rPr>
          <w:rFonts w:hint="eastAsia"/>
          <w:color w:val="auto"/>
          <w:kern w:val="0"/>
          <w:sz w:val="24"/>
          <w:highlight w:val="none"/>
          <w:u w:val="single"/>
        </w:rPr>
        <w:t xml:space="preserve">           </w:t>
      </w:r>
      <w:r>
        <w:rPr>
          <w:color w:val="auto"/>
          <w:kern w:val="0"/>
          <w:sz w:val="24"/>
          <w:highlight w:val="none"/>
        </w:rPr>
        <w:t>项目（项目编号：</w:t>
      </w:r>
      <w:r>
        <w:rPr>
          <w:rFonts w:hint="eastAsia"/>
          <w:color w:val="auto"/>
          <w:kern w:val="0"/>
          <w:sz w:val="24"/>
          <w:highlight w:val="none"/>
          <w:u w:val="single"/>
        </w:rPr>
        <w:t xml:space="preserve">           </w:t>
      </w:r>
      <w:r>
        <w:rPr>
          <w:color w:val="auto"/>
          <w:kern w:val="0"/>
          <w:sz w:val="24"/>
          <w:highlight w:val="none"/>
        </w:rPr>
        <w:t>）的采购活动，</w:t>
      </w:r>
      <w:r>
        <w:rPr>
          <w:rFonts w:hint="eastAsia"/>
          <w:color w:val="auto"/>
          <w:sz w:val="24"/>
          <w:highlight w:val="none"/>
        </w:rPr>
        <w:t>现郑重</w:t>
      </w:r>
      <w:r>
        <w:rPr>
          <w:color w:val="auto"/>
          <w:sz w:val="24"/>
          <w:highlight w:val="none"/>
        </w:rPr>
        <w:t>承诺</w:t>
      </w:r>
      <w:r>
        <w:rPr>
          <w:rFonts w:hint="eastAsia"/>
          <w:color w:val="auto"/>
          <w:kern w:val="0"/>
          <w:sz w:val="24"/>
          <w:highlight w:val="none"/>
        </w:rPr>
        <w:t>所供货物包装符合国家《商品包装政府采购需求标准（试行）》、《快递包装政府采购需求标准（试行）》（财办库〔2020〕123号）包装标准，且满足远距离运输、防潮、防震、防锈和防野蛮装卸等情形，确保货物安全无损运抵甲方指定场所</w:t>
      </w:r>
      <w:r>
        <w:rPr>
          <w:color w:val="auto"/>
          <w:kern w:val="0"/>
          <w:sz w:val="24"/>
          <w:highlight w:val="none"/>
        </w:rPr>
        <w:t>。</w:t>
      </w:r>
    </w:p>
    <w:p w14:paraId="0858CEFE">
      <w:pPr>
        <w:pStyle w:val="17"/>
        <w:widowControl w:val="0"/>
        <w:adjustRightInd w:val="0"/>
        <w:spacing w:before="0" w:beforeAutospacing="0" w:after="0" w:afterAutospacing="0" w:line="360" w:lineRule="auto"/>
        <w:ind w:firstLine="480" w:firstLineChars="200"/>
        <w:jc w:val="both"/>
        <w:rPr>
          <w:rFonts w:hint="eastAsia" w:ascii="Times New Roman" w:hAnsi="Times New Roman" w:cs="Times New Roman"/>
          <w:color w:val="auto"/>
          <w:highlight w:val="none"/>
        </w:rPr>
      </w:pPr>
      <w:r>
        <w:rPr>
          <w:rFonts w:hint="eastAsia" w:ascii="Times New Roman" w:hAnsi="Times New Roman" w:cs="Times New Roman"/>
          <w:color w:val="auto"/>
          <w:highlight w:val="none"/>
        </w:rPr>
        <w:t>如上述承诺不真实，愿意按照政府采购有关法律法规的规定接受处罚。</w:t>
      </w:r>
    </w:p>
    <w:p w14:paraId="655E8E0C">
      <w:pPr>
        <w:pStyle w:val="17"/>
        <w:widowControl w:val="0"/>
        <w:adjustRightInd w:val="0"/>
        <w:spacing w:before="0" w:beforeAutospacing="0" w:after="0" w:afterAutospacing="0" w:line="360"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特此</w:t>
      </w:r>
      <w:r>
        <w:rPr>
          <w:rFonts w:hint="eastAsia" w:ascii="Times New Roman" w:hAnsi="Times New Roman" w:cs="Times New Roman"/>
          <w:color w:val="auto"/>
          <w:highlight w:val="none"/>
        </w:rPr>
        <w:t>承诺</w:t>
      </w:r>
    </w:p>
    <w:p w14:paraId="77B54594">
      <w:pPr>
        <w:pStyle w:val="30"/>
        <w:spacing w:line="360" w:lineRule="auto"/>
        <w:rPr>
          <w:rFonts w:hint="eastAsia" w:ascii="Times New Roman" w:hAnsi="Times New Roman"/>
          <w:color w:val="auto"/>
          <w:sz w:val="24"/>
          <w:szCs w:val="24"/>
          <w:highlight w:val="none"/>
        </w:rPr>
      </w:pPr>
    </w:p>
    <w:p w14:paraId="1EE0C1A4">
      <w:pPr>
        <w:pStyle w:val="30"/>
        <w:spacing w:line="360" w:lineRule="auto"/>
        <w:ind w:firstLine="4320" w:firstLineChars="1800"/>
        <w:rPr>
          <w:rFonts w:ascii="Times New Roman" w:hAnsi="Times New Roman"/>
          <w:color w:val="auto"/>
          <w:sz w:val="24"/>
          <w:szCs w:val="24"/>
          <w:highlight w:val="none"/>
        </w:rPr>
      </w:pPr>
      <w:r>
        <w:rPr>
          <w:rFonts w:ascii="Times New Roman" w:hAnsi="Times New Roman"/>
          <w:color w:val="auto"/>
          <w:sz w:val="24"/>
          <w:szCs w:val="24"/>
          <w:highlight w:val="none"/>
        </w:rPr>
        <w:t>供应商名称：</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（盖章）</w:t>
      </w:r>
    </w:p>
    <w:p w14:paraId="33F10556">
      <w:pPr>
        <w:keepNext/>
        <w:tabs>
          <w:tab w:val="left" w:pos="2070"/>
          <w:tab w:val="center" w:pos="4365"/>
        </w:tabs>
        <w:adjustRightInd w:val="0"/>
        <w:snapToGrid w:val="0"/>
        <w:spacing w:line="360" w:lineRule="auto"/>
        <w:ind w:firstLine="420"/>
        <w:jc w:val="center"/>
        <w:outlineLvl w:val="0"/>
        <w:rPr>
          <w:rFonts w:hint="eastAsia" w:ascii="宋体" w:hAnsi="宋体" w:eastAsia="宋体" w:cs="宋体"/>
          <w:b/>
          <w:color w:val="auto"/>
          <w:kern w:val="0"/>
          <w:sz w:val="32"/>
          <w:szCs w:val="32"/>
          <w:highlight w:val="none"/>
        </w:rPr>
      </w:pPr>
      <w:r>
        <w:rPr>
          <w:rFonts w:ascii="Times New Roman" w:hAnsi="Times New Roman"/>
          <w:color w:val="auto"/>
          <w:sz w:val="24"/>
          <w:highlight w:val="none"/>
        </w:rPr>
        <w:t xml:space="preserve">日 </w:t>
      </w:r>
      <w:r>
        <w:rPr>
          <w:rFonts w:hint="eastAsia" w:ascii="Times New Roman" w:hAnsi="Times New Roman"/>
          <w:color w:val="auto"/>
          <w:sz w:val="24"/>
          <w:highlight w:val="none"/>
        </w:rPr>
        <w:t xml:space="preserve">     </w:t>
      </w:r>
      <w:r>
        <w:rPr>
          <w:rFonts w:ascii="Times New Roman" w:hAnsi="Times New Roman"/>
          <w:color w:val="auto"/>
          <w:sz w:val="24"/>
          <w:highlight w:val="none"/>
        </w:rPr>
        <w:t>期：</w:t>
      </w:r>
      <w:r>
        <w:rPr>
          <w:rFonts w:hint="eastAsia" w:ascii="宋体" w:hAnsi="宋体" w:eastAsia="宋体" w:cs="宋体"/>
          <w:color w:val="auto"/>
          <w:highlight w:val="none"/>
        </w:rPr>
        <w:br w:type="page"/>
      </w:r>
      <w:bookmarkStart w:id="88" w:name="_Toc180347501"/>
      <w:bookmarkStart w:id="89" w:name="_Toc175067570"/>
      <w:r>
        <w:rPr>
          <w:rFonts w:hint="eastAsia" w:ascii="宋体" w:hAnsi="宋体" w:eastAsia="宋体" w:cs="宋体"/>
          <w:b/>
          <w:color w:val="auto"/>
          <w:kern w:val="0"/>
          <w:sz w:val="32"/>
          <w:szCs w:val="32"/>
          <w:highlight w:val="none"/>
        </w:rPr>
        <w:t>第八部分  相关附件</w:t>
      </w:r>
      <w:bookmarkEnd w:id="86"/>
      <w:bookmarkEnd w:id="88"/>
      <w:bookmarkEnd w:id="89"/>
    </w:p>
    <w:p w14:paraId="3E4688DC">
      <w:pPr>
        <w:spacing w:line="360" w:lineRule="auto"/>
        <w:jc w:val="center"/>
        <w:rPr>
          <w:rFonts w:ascii="宋体" w:hAnsi="宋体" w:cs="宋体"/>
          <w:b/>
          <w:sz w:val="24"/>
          <w:highlight w:val="none"/>
        </w:rPr>
      </w:pPr>
      <w:r>
        <w:rPr>
          <w:rFonts w:hint="eastAsia" w:ascii="宋体" w:hAnsi="宋体" w:cs="宋体"/>
          <w:b/>
          <w:sz w:val="24"/>
          <w:highlight w:val="none"/>
        </w:rPr>
        <w:t>质疑函制作说明</w:t>
      </w:r>
    </w:p>
    <w:p w14:paraId="5E37A621">
      <w:pPr>
        <w:pStyle w:val="30"/>
        <w:keepNext/>
        <w:spacing w:line="360" w:lineRule="auto"/>
        <w:jc w:val="left"/>
        <w:rPr>
          <w:rFonts w:hint="eastAsia" w:ascii="宋体" w:hAnsi="宋体" w:eastAsia="宋体" w:cs="宋体"/>
          <w:color w:val="auto"/>
          <w:sz w:val="24"/>
          <w:szCs w:val="24"/>
          <w:highlight w:val="none"/>
        </w:rPr>
      </w:pPr>
      <w:r>
        <w:rPr>
          <w:rFonts w:hint="eastAsia" w:ascii="宋体" w:hAnsi="宋体" w:cs="宋体"/>
          <w:sz w:val="24"/>
          <w:highlight w:val="none"/>
        </w:rPr>
        <w:t>供应商提出质疑时，按照《山西省财政厅关于政府采购项目全面实施在线质疑的通知》的规定、本文件的要求及政采云平台要求制作。</w:t>
      </w:r>
    </w:p>
    <w:sectPr>
      <w:footerReference r:id="rId4" w:type="first"/>
      <w:footerReference r:id="rId3" w:type="default"/>
      <w:pgSz w:w="11906" w:h="16838"/>
      <w:pgMar w:top="1418" w:right="1418" w:bottom="1418" w:left="1418" w:header="851" w:footer="992" w:gutter="0"/>
      <w:pgNumType w:fmt="decimal" w:start="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20895B9C-9F3B-428F-8061-D8B983D7D02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B25F2FA-41F6-4B37-8213-9A5F3AF19E6E}"/>
  </w:font>
  <w:font w:name="华文楷体">
    <w:altName w:val="宋体"/>
    <w:panose1 w:val="02010600040101010101"/>
    <w:charset w:val="86"/>
    <w:family w:val="auto"/>
    <w:pitch w:val="default"/>
    <w:sig w:usb0="00000000" w:usb1="00000000" w:usb2="00000016" w:usb3="00000000" w:csb0="6006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5FD615C4-348F-4BCD-ABB5-D34162C1A454}"/>
  </w:font>
  <w:font w:name="Wingdings 2">
    <w:panose1 w:val="05020102010507070707"/>
    <w:charset w:val="02"/>
    <w:family w:val="roman"/>
    <w:pitch w:val="default"/>
    <w:sig w:usb0="00000000" w:usb1="00000000" w:usb2="00000000" w:usb3="00000000" w:csb0="80000000" w:csb1="00000000"/>
    <w:embedRegular r:id="rId4" w:fontKey="{1D45CB84-6BAB-4E24-B2A5-C603288D1303}"/>
  </w:font>
  <w:font w:name="华文中宋">
    <w:altName w:val="宋体"/>
    <w:panose1 w:val="02010600040101010101"/>
    <w:charset w:val="86"/>
    <w:family w:val="auto"/>
    <w:pitch w:val="default"/>
    <w:sig w:usb0="00000000" w:usb1="00000000" w:usb2="00000000" w:usb3="00000000" w:csb0="0004009F" w:csb1="DFD70000"/>
    <w:embedRegular r:id="rId5" w:fontKey="{C58F85A2-16B2-4DEA-8A67-FF02E351C0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E08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FFA55">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AFFA55">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7528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F707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EF707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06718"/>
    <w:multiLevelType w:val="multilevel"/>
    <w:tmpl w:val="1C506718"/>
    <w:lvl w:ilvl="0" w:tentative="0">
      <w:start w:val="1"/>
      <w:numFmt w:val="chineseCountingThousand"/>
      <w:pStyle w:val="2"/>
      <w:lvlText w:val="（%1）"/>
      <w:lvlJc w:val="left"/>
      <w:pPr>
        <w:ind w:left="0" w:firstLine="0"/>
      </w:pPr>
    </w:lvl>
    <w:lvl w:ilvl="1" w:tentative="0">
      <w:start w:val="1"/>
      <w:numFmt w:val="decimal"/>
      <w:lvlText w:val="%2%1."/>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0A35E31"/>
    <w:multiLevelType w:val="multilevel"/>
    <w:tmpl w:val="70A35E31"/>
    <w:lvl w:ilvl="0" w:tentative="0">
      <w:start w:val="1"/>
      <w:numFmt w:val="decimal"/>
      <w:pStyle w:val="39"/>
      <w:lvlText w:val="(%1)"/>
      <w:lvlJc w:val="left"/>
      <w:pPr>
        <w:ind w:left="440" w:hanging="440"/>
      </w:pPr>
      <w:rPr>
        <w:rFonts w:hint="default" w:ascii="Times New Roman" w:hAnsi="Times New Roman" w:eastAsia="宋体"/>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jUzMDFkYzY1NDY4NDdmOGEyOTRhY2FlYTU2OWYifQ=="/>
  </w:docVars>
  <w:rsids>
    <w:rsidRoot w:val="07AE3EE4"/>
    <w:rsid w:val="0001097F"/>
    <w:rsid w:val="00024984"/>
    <w:rsid w:val="00040B44"/>
    <w:rsid w:val="00043D2C"/>
    <w:rsid w:val="000753CA"/>
    <w:rsid w:val="0008082A"/>
    <w:rsid w:val="000B2716"/>
    <w:rsid w:val="000B51CA"/>
    <w:rsid w:val="000C5E77"/>
    <w:rsid w:val="000E23F4"/>
    <w:rsid w:val="000F0AF2"/>
    <w:rsid w:val="000F1690"/>
    <w:rsid w:val="000F6FA5"/>
    <w:rsid w:val="001236E6"/>
    <w:rsid w:val="00130542"/>
    <w:rsid w:val="001341FE"/>
    <w:rsid w:val="001438CF"/>
    <w:rsid w:val="00145AEA"/>
    <w:rsid w:val="00161A2D"/>
    <w:rsid w:val="0016347F"/>
    <w:rsid w:val="00170B29"/>
    <w:rsid w:val="00173F93"/>
    <w:rsid w:val="001754C5"/>
    <w:rsid w:val="0019281D"/>
    <w:rsid w:val="001A0B74"/>
    <w:rsid w:val="001A7EA9"/>
    <w:rsid w:val="001B7EE1"/>
    <w:rsid w:val="001C4E20"/>
    <w:rsid w:val="001F1013"/>
    <w:rsid w:val="00202796"/>
    <w:rsid w:val="002349E9"/>
    <w:rsid w:val="002439F2"/>
    <w:rsid w:val="00246090"/>
    <w:rsid w:val="00282DE9"/>
    <w:rsid w:val="00287C49"/>
    <w:rsid w:val="002B18A8"/>
    <w:rsid w:val="002D0FA9"/>
    <w:rsid w:val="002D171A"/>
    <w:rsid w:val="002D65D1"/>
    <w:rsid w:val="002E7E82"/>
    <w:rsid w:val="002F3058"/>
    <w:rsid w:val="0031576E"/>
    <w:rsid w:val="003169B8"/>
    <w:rsid w:val="00330AF3"/>
    <w:rsid w:val="00333567"/>
    <w:rsid w:val="003351A2"/>
    <w:rsid w:val="0035135A"/>
    <w:rsid w:val="00351D8A"/>
    <w:rsid w:val="003671A6"/>
    <w:rsid w:val="00374EBF"/>
    <w:rsid w:val="00376019"/>
    <w:rsid w:val="003768E6"/>
    <w:rsid w:val="003815F3"/>
    <w:rsid w:val="003B2E7E"/>
    <w:rsid w:val="003D1155"/>
    <w:rsid w:val="003D5B6D"/>
    <w:rsid w:val="003D7D7D"/>
    <w:rsid w:val="003F026B"/>
    <w:rsid w:val="003F46AE"/>
    <w:rsid w:val="003F6C70"/>
    <w:rsid w:val="0040571B"/>
    <w:rsid w:val="00415C93"/>
    <w:rsid w:val="004262FD"/>
    <w:rsid w:val="00433DB5"/>
    <w:rsid w:val="004400A9"/>
    <w:rsid w:val="00440180"/>
    <w:rsid w:val="0044772F"/>
    <w:rsid w:val="00451F41"/>
    <w:rsid w:val="0045626A"/>
    <w:rsid w:val="004702C7"/>
    <w:rsid w:val="0047115F"/>
    <w:rsid w:val="004774F2"/>
    <w:rsid w:val="004818D5"/>
    <w:rsid w:val="004946CF"/>
    <w:rsid w:val="004A05EA"/>
    <w:rsid w:val="004A346D"/>
    <w:rsid w:val="004A36FF"/>
    <w:rsid w:val="004B2610"/>
    <w:rsid w:val="004C351B"/>
    <w:rsid w:val="004D1EE3"/>
    <w:rsid w:val="004E2F2C"/>
    <w:rsid w:val="004F5F53"/>
    <w:rsid w:val="00516BBB"/>
    <w:rsid w:val="00525938"/>
    <w:rsid w:val="00526495"/>
    <w:rsid w:val="005309E2"/>
    <w:rsid w:val="00540DF5"/>
    <w:rsid w:val="00545FCA"/>
    <w:rsid w:val="00547E7E"/>
    <w:rsid w:val="005535DF"/>
    <w:rsid w:val="00553C8B"/>
    <w:rsid w:val="005568F1"/>
    <w:rsid w:val="00574F8C"/>
    <w:rsid w:val="005854A8"/>
    <w:rsid w:val="005A6E2E"/>
    <w:rsid w:val="005E34BE"/>
    <w:rsid w:val="005E3B98"/>
    <w:rsid w:val="005F6AA5"/>
    <w:rsid w:val="00610C7C"/>
    <w:rsid w:val="00616F3E"/>
    <w:rsid w:val="00623A1F"/>
    <w:rsid w:val="0064002E"/>
    <w:rsid w:val="00651D4C"/>
    <w:rsid w:val="00652D73"/>
    <w:rsid w:val="006563A6"/>
    <w:rsid w:val="00656980"/>
    <w:rsid w:val="006715C1"/>
    <w:rsid w:val="00683469"/>
    <w:rsid w:val="00684730"/>
    <w:rsid w:val="006B045E"/>
    <w:rsid w:val="006D0690"/>
    <w:rsid w:val="006F07C7"/>
    <w:rsid w:val="0070117F"/>
    <w:rsid w:val="00703ADF"/>
    <w:rsid w:val="00707AAD"/>
    <w:rsid w:val="00725401"/>
    <w:rsid w:val="00734519"/>
    <w:rsid w:val="00746F33"/>
    <w:rsid w:val="0075194C"/>
    <w:rsid w:val="0075575F"/>
    <w:rsid w:val="00775A2E"/>
    <w:rsid w:val="00777D51"/>
    <w:rsid w:val="007824EF"/>
    <w:rsid w:val="007A1813"/>
    <w:rsid w:val="007C7102"/>
    <w:rsid w:val="007F2C35"/>
    <w:rsid w:val="007F7913"/>
    <w:rsid w:val="008150A3"/>
    <w:rsid w:val="0084643F"/>
    <w:rsid w:val="008506FE"/>
    <w:rsid w:val="008532B0"/>
    <w:rsid w:val="00881D0A"/>
    <w:rsid w:val="0088522F"/>
    <w:rsid w:val="00886CA6"/>
    <w:rsid w:val="008958B9"/>
    <w:rsid w:val="008C1606"/>
    <w:rsid w:val="008C1BBC"/>
    <w:rsid w:val="008D10BB"/>
    <w:rsid w:val="008E0AF7"/>
    <w:rsid w:val="008F048E"/>
    <w:rsid w:val="008F1177"/>
    <w:rsid w:val="008F666B"/>
    <w:rsid w:val="008F78D1"/>
    <w:rsid w:val="00920CA7"/>
    <w:rsid w:val="00926A4E"/>
    <w:rsid w:val="0094455C"/>
    <w:rsid w:val="00946673"/>
    <w:rsid w:val="0095474F"/>
    <w:rsid w:val="009619F2"/>
    <w:rsid w:val="009673B0"/>
    <w:rsid w:val="00972DE0"/>
    <w:rsid w:val="00990370"/>
    <w:rsid w:val="00990AFB"/>
    <w:rsid w:val="00992041"/>
    <w:rsid w:val="00994319"/>
    <w:rsid w:val="00994BF2"/>
    <w:rsid w:val="009A72A6"/>
    <w:rsid w:val="009C31FE"/>
    <w:rsid w:val="009E5823"/>
    <w:rsid w:val="009E6646"/>
    <w:rsid w:val="009F4243"/>
    <w:rsid w:val="009F5847"/>
    <w:rsid w:val="00A339C4"/>
    <w:rsid w:val="00A33F5D"/>
    <w:rsid w:val="00A3683A"/>
    <w:rsid w:val="00A426F4"/>
    <w:rsid w:val="00A47CED"/>
    <w:rsid w:val="00A60772"/>
    <w:rsid w:val="00A719C9"/>
    <w:rsid w:val="00A772E7"/>
    <w:rsid w:val="00A8310F"/>
    <w:rsid w:val="00A86BC6"/>
    <w:rsid w:val="00A87B9C"/>
    <w:rsid w:val="00AA60DD"/>
    <w:rsid w:val="00AB2AAA"/>
    <w:rsid w:val="00AB7850"/>
    <w:rsid w:val="00AC2DC5"/>
    <w:rsid w:val="00AC327D"/>
    <w:rsid w:val="00AC60AE"/>
    <w:rsid w:val="00AD7E91"/>
    <w:rsid w:val="00AE13E0"/>
    <w:rsid w:val="00AE621A"/>
    <w:rsid w:val="00B004B7"/>
    <w:rsid w:val="00B03C09"/>
    <w:rsid w:val="00B17441"/>
    <w:rsid w:val="00B362F9"/>
    <w:rsid w:val="00B51909"/>
    <w:rsid w:val="00B76DBD"/>
    <w:rsid w:val="00B7767A"/>
    <w:rsid w:val="00B83747"/>
    <w:rsid w:val="00B937ED"/>
    <w:rsid w:val="00BB3CC0"/>
    <w:rsid w:val="00BB7B0B"/>
    <w:rsid w:val="00BC1CC1"/>
    <w:rsid w:val="00BD0817"/>
    <w:rsid w:val="00BD0955"/>
    <w:rsid w:val="00BD7D73"/>
    <w:rsid w:val="00BE1E5C"/>
    <w:rsid w:val="00BF067D"/>
    <w:rsid w:val="00BF3509"/>
    <w:rsid w:val="00C0745E"/>
    <w:rsid w:val="00C130D8"/>
    <w:rsid w:val="00C17C87"/>
    <w:rsid w:val="00C26838"/>
    <w:rsid w:val="00C37A80"/>
    <w:rsid w:val="00C666CB"/>
    <w:rsid w:val="00C70ECE"/>
    <w:rsid w:val="00C7763F"/>
    <w:rsid w:val="00C91E37"/>
    <w:rsid w:val="00D00DBF"/>
    <w:rsid w:val="00D02F80"/>
    <w:rsid w:val="00D062C9"/>
    <w:rsid w:val="00D06D94"/>
    <w:rsid w:val="00D1647C"/>
    <w:rsid w:val="00D477BF"/>
    <w:rsid w:val="00D51E9C"/>
    <w:rsid w:val="00D525B3"/>
    <w:rsid w:val="00D5416E"/>
    <w:rsid w:val="00D56143"/>
    <w:rsid w:val="00D67EE4"/>
    <w:rsid w:val="00D77F2E"/>
    <w:rsid w:val="00D836AC"/>
    <w:rsid w:val="00D84E06"/>
    <w:rsid w:val="00D9167F"/>
    <w:rsid w:val="00D934D2"/>
    <w:rsid w:val="00DA5B33"/>
    <w:rsid w:val="00DB419E"/>
    <w:rsid w:val="00DB71EB"/>
    <w:rsid w:val="00DD2C17"/>
    <w:rsid w:val="00DD657C"/>
    <w:rsid w:val="00DF229F"/>
    <w:rsid w:val="00DF3697"/>
    <w:rsid w:val="00E079E8"/>
    <w:rsid w:val="00E10817"/>
    <w:rsid w:val="00E34A20"/>
    <w:rsid w:val="00E4552D"/>
    <w:rsid w:val="00E46584"/>
    <w:rsid w:val="00E473FE"/>
    <w:rsid w:val="00E5588C"/>
    <w:rsid w:val="00E5647D"/>
    <w:rsid w:val="00E60F52"/>
    <w:rsid w:val="00E67EDA"/>
    <w:rsid w:val="00E73F4F"/>
    <w:rsid w:val="00E9538F"/>
    <w:rsid w:val="00E960E1"/>
    <w:rsid w:val="00EA5852"/>
    <w:rsid w:val="00EC6278"/>
    <w:rsid w:val="00EE146C"/>
    <w:rsid w:val="00EF569D"/>
    <w:rsid w:val="00F036C3"/>
    <w:rsid w:val="00F06813"/>
    <w:rsid w:val="00F10CBF"/>
    <w:rsid w:val="00F15BEB"/>
    <w:rsid w:val="00F253A1"/>
    <w:rsid w:val="00F26A25"/>
    <w:rsid w:val="00F3108B"/>
    <w:rsid w:val="00F330C1"/>
    <w:rsid w:val="00F35EE8"/>
    <w:rsid w:val="00F4596E"/>
    <w:rsid w:val="00F46165"/>
    <w:rsid w:val="00F46B88"/>
    <w:rsid w:val="00F5170B"/>
    <w:rsid w:val="00F83B46"/>
    <w:rsid w:val="00FA1686"/>
    <w:rsid w:val="00FA71E5"/>
    <w:rsid w:val="00FB0BBA"/>
    <w:rsid w:val="00FB1A64"/>
    <w:rsid w:val="00FC5771"/>
    <w:rsid w:val="00FE45C8"/>
    <w:rsid w:val="00FF39CC"/>
    <w:rsid w:val="01363832"/>
    <w:rsid w:val="0136732D"/>
    <w:rsid w:val="01D54B64"/>
    <w:rsid w:val="020C3FF2"/>
    <w:rsid w:val="020C4532"/>
    <w:rsid w:val="022573A2"/>
    <w:rsid w:val="02D212D8"/>
    <w:rsid w:val="030F3530"/>
    <w:rsid w:val="032A1C27"/>
    <w:rsid w:val="038F4955"/>
    <w:rsid w:val="03D21222"/>
    <w:rsid w:val="0430275A"/>
    <w:rsid w:val="04695C6C"/>
    <w:rsid w:val="046E3819"/>
    <w:rsid w:val="04A71B2E"/>
    <w:rsid w:val="04B263C5"/>
    <w:rsid w:val="05524086"/>
    <w:rsid w:val="057812CE"/>
    <w:rsid w:val="05985821"/>
    <w:rsid w:val="05EA06E6"/>
    <w:rsid w:val="06007F0A"/>
    <w:rsid w:val="06283734"/>
    <w:rsid w:val="06C62AE7"/>
    <w:rsid w:val="078F2096"/>
    <w:rsid w:val="078F3ADC"/>
    <w:rsid w:val="079923C4"/>
    <w:rsid w:val="07AE3EE4"/>
    <w:rsid w:val="07AF3996"/>
    <w:rsid w:val="07C1191B"/>
    <w:rsid w:val="07C961D1"/>
    <w:rsid w:val="07DC5543"/>
    <w:rsid w:val="07E5108A"/>
    <w:rsid w:val="07FC0BA5"/>
    <w:rsid w:val="080C703A"/>
    <w:rsid w:val="08177234"/>
    <w:rsid w:val="08AB34E7"/>
    <w:rsid w:val="08DA7138"/>
    <w:rsid w:val="09572537"/>
    <w:rsid w:val="09E82F46"/>
    <w:rsid w:val="09F47D86"/>
    <w:rsid w:val="0A694B9C"/>
    <w:rsid w:val="0A7D6888"/>
    <w:rsid w:val="0A9E0C56"/>
    <w:rsid w:val="0A9F4195"/>
    <w:rsid w:val="0AE333EC"/>
    <w:rsid w:val="0B2253A5"/>
    <w:rsid w:val="0B2D1FA3"/>
    <w:rsid w:val="0B3F14D4"/>
    <w:rsid w:val="0B5331D2"/>
    <w:rsid w:val="0B6C2147"/>
    <w:rsid w:val="0BE2618D"/>
    <w:rsid w:val="0C817199"/>
    <w:rsid w:val="0CC71781"/>
    <w:rsid w:val="0CD2622C"/>
    <w:rsid w:val="0CD910AD"/>
    <w:rsid w:val="0D0F1966"/>
    <w:rsid w:val="0DC06B93"/>
    <w:rsid w:val="0DF65820"/>
    <w:rsid w:val="0DFF7F3B"/>
    <w:rsid w:val="0E0A5DCA"/>
    <w:rsid w:val="0E60401B"/>
    <w:rsid w:val="0EBC1CFA"/>
    <w:rsid w:val="0F150BE0"/>
    <w:rsid w:val="0F3D7EC8"/>
    <w:rsid w:val="0FF46D31"/>
    <w:rsid w:val="109C64BB"/>
    <w:rsid w:val="10B600F3"/>
    <w:rsid w:val="1102547E"/>
    <w:rsid w:val="1129570C"/>
    <w:rsid w:val="115E0935"/>
    <w:rsid w:val="118029A2"/>
    <w:rsid w:val="11BD6B15"/>
    <w:rsid w:val="11D51894"/>
    <w:rsid w:val="11DD195E"/>
    <w:rsid w:val="120F64D5"/>
    <w:rsid w:val="123F3D41"/>
    <w:rsid w:val="1299771C"/>
    <w:rsid w:val="13135DE5"/>
    <w:rsid w:val="131B2827"/>
    <w:rsid w:val="13B474CB"/>
    <w:rsid w:val="13D749A0"/>
    <w:rsid w:val="13DF731C"/>
    <w:rsid w:val="14242E0D"/>
    <w:rsid w:val="148C67FF"/>
    <w:rsid w:val="14C8561E"/>
    <w:rsid w:val="14FC21E4"/>
    <w:rsid w:val="15115C90"/>
    <w:rsid w:val="152359C3"/>
    <w:rsid w:val="15520003"/>
    <w:rsid w:val="15575EBB"/>
    <w:rsid w:val="158E72E0"/>
    <w:rsid w:val="15D77D78"/>
    <w:rsid w:val="15F26272"/>
    <w:rsid w:val="161672D6"/>
    <w:rsid w:val="165D33C4"/>
    <w:rsid w:val="16C62AAA"/>
    <w:rsid w:val="16E3670B"/>
    <w:rsid w:val="16F058BF"/>
    <w:rsid w:val="17306E6C"/>
    <w:rsid w:val="173C4B1A"/>
    <w:rsid w:val="17AD5A18"/>
    <w:rsid w:val="18314152"/>
    <w:rsid w:val="1886712B"/>
    <w:rsid w:val="188820AC"/>
    <w:rsid w:val="18975BE4"/>
    <w:rsid w:val="193B433D"/>
    <w:rsid w:val="199B27AF"/>
    <w:rsid w:val="19A2414E"/>
    <w:rsid w:val="1A184F92"/>
    <w:rsid w:val="1A277D03"/>
    <w:rsid w:val="1A2D025A"/>
    <w:rsid w:val="1A521033"/>
    <w:rsid w:val="1A5D1977"/>
    <w:rsid w:val="1AAD2630"/>
    <w:rsid w:val="1ABE0B0A"/>
    <w:rsid w:val="1AD31881"/>
    <w:rsid w:val="1AF37BE5"/>
    <w:rsid w:val="1B2304CB"/>
    <w:rsid w:val="1BEC684A"/>
    <w:rsid w:val="1C351FA0"/>
    <w:rsid w:val="1C5D1697"/>
    <w:rsid w:val="1CE00012"/>
    <w:rsid w:val="1CF91C94"/>
    <w:rsid w:val="1D310127"/>
    <w:rsid w:val="1D41732E"/>
    <w:rsid w:val="1D884F5D"/>
    <w:rsid w:val="1DC206B4"/>
    <w:rsid w:val="1DEA1774"/>
    <w:rsid w:val="1DEA52D0"/>
    <w:rsid w:val="1DEC2C77"/>
    <w:rsid w:val="1E724E93"/>
    <w:rsid w:val="1EA65471"/>
    <w:rsid w:val="1EDE0263"/>
    <w:rsid w:val="1EE241F9"/>
    <w:rsid w:val="1F187765"/>
    <w:rsid w:val="1F235E43"/>
    <w:rsid w:val="1F3709E9"/>
    <w:rsid w:val="1FF56A2F"/>
    <w:rsid w:val="200D0458"/>
    <w:rsid w:val="20104D96"/>
    <w:rsid w:val="20444E4F"/>
    <w:rsid w:val="2054789A"/>
    <w:rsid w:val="207F3CF6"/>
    <w:rsid w:val="20FD332F"/>
    <w:rsid w:val="210E6C71"/>
    <w:rsid w:val="214E1FBC"/>
    <w:rsid w:val="21595216"/>
    <w:rsid w:val="21675FC1"/>
    <w:rsid w:val="21D94F8E"/>
    <w:rsid w:val="21EA0256"/>
    <w:rsid w:val="221F77CA"/>
    <w:rsid w:val="22431452"/>
    <w:rsid w:val="22482CBD"/>
    <w:rsid w:val="226338A3"/>
    <w:rsid w:val="2288155B"/>
    <w:rsid w:val="22B24A96"/>
    <w:rsid w:val="22B95948"/>
    <w:rsid w:val="23076924"/>
    <w:rsid w:val="230841CA"/>
    <w:rsid w:val="230D44E8"/>
    <w:rsid w:val="23330F45"/>
    <w:rsid w:val="23385370"/>
    <w:rsid w:val="23474F72"/>
    <w:rsid w:val="235356C5"/>
    <w:rsid w:val="236218A8"/>
    <w:rsid w:val="239B10BB"/>
    <w:rsid w:val="23B427D8"/>
    <w:rsid w:val="23F15571"/>
    <w:rsid w:val="2423153B"/>
    <w:rsid w:val="245A04CE"/>
    <w:rsid w:val="245B6F27"/>
    <w:rsid w:val="24677321"/>
    <w:rsid w:val="247012D0"/>
    <w:rsid w:val="24A375CC"/>
    <w:rsid w:val="25090731"/>
    <w:rsid w:val="25120EDC"/>
    <w:rsid w:val="25167915"/>
    <w:rsid w:val="251B6927"/>
    <w:rsid w:val="254F38C5"/>
    <w:rsid w:val="25A112A9"/>
    <w:rsid w:val="25E43CC2"/>
    <w:rsid w:val="26394109"/>
    <w:rsid w:val="26603156"/>
    <w:rsid w:val="267031DC"/>
    <w:rsid w:val="26722306"/>
    <w:rsid w:val="269D1E96"/>
    <w:rsid w:val="26C2328E"/>
    <w:rsid w:val="26CB1012"/>
    <w:rsid w:val="27910EB2"/>
    <w:rsid w:val="27A70129"/>
    <w:rsid w:val="27DA5037"/>
    <w:rsid w:val="27E52BFD"/>
    <w:rsid w:val="28445F24"/>
    <w:rsid w:val="287F0D0A"/>
    <w:rsid w:val="2916341D"/>
    <w:rsid w:val="291C70A5"/>
    <w:rsid w:val="29361170"/>
    <w:rsid w:val="294F35E7"/>
    <w:rsid w:val="29634188"/>
    <w:rsid w:val="298D6234"/>
    <w:rsid w:val="29BF1E2F"/>
    <w:rsid w:val="29CF0264"/>
    <w:rsid w:val="29EE7006"/>
    <w:rsid w:val="2A0B0AA8"/>
    <w:rsid w:val="2A2C6C70"/>
    <w:rsid w:val="2A302823"/>
    <w:rsid w:val="2A6309D6"/>
    <w:rsid w:val="2A6D6369"/>
    <w:rsid w:val="2AA47384"/>
    <w:rsid w:val="2ADD5419"/>
    <w:rsid w:val="2AF223BC"/>
    <w:rsid w:val="2B481888"/>
    <w:rsid w:val="2B601BD6"/>
    <w:rsid w:val="2B9B6FAC"/>
    <w:rsid w:val="2BA70CA4"/>
    <w:rsid w:val="2BE946E4"/>
    <w:rsid w:val="2C854620"/>
    <w:rsid w:val="2C9B261E"/>
    <w:rsid w:val="2CB063A3"/>
    <w:rsid w:val="2CEF2903"/>
    <w:rsid w:val="2D204ED1"/>
    <w:rsid w:val="2D21501C"/>
    <w:rsid w:val="2D2222DE"/>
    <w:rsid w:val="2D5B0AA5"/>
    <w:rsid w:val="2D863EDD"/>
    <w:rsid w:val="2D9B4590"/>
    <w:rsid w:val="2DEE4379"/>
    <w:rsid w:val="2E136AA5"/>
    <w:rsid w:val="2E37643F"/>
    <w:rsid w:val="2E5A00BC"/>
    <w:rsid w:val="2E750704"/>
    <w:rsid w:val="2ED429F9"/>
    <w:rsid w:val="2EF0181A"/>
    <w:rsid w:val="2F374D6B"/>
    <w:rsid w:val="2F7964B4"/>
    <w:rsid w:val="2F8920EB"/>
    <w:rsid w:val="2FA90F83"/>
    <w:rsid w:val="2FBC149F"/>
    <w:rsid w:val="3058256D"/>
    <w:rsid w:val="308F2273"/>
    <w:rsid w:val="31017D45"/>
    <w:rsid w:val="313908AB"/>
    <w:rsid w:val="316F5DC0"/>
    <w:rsid w:val="31BA1DBB"/>
    <w:rsid w:val="31D37177"/>
    <w:rsid w:val="31F167D5"/>
    <w:rsid w:val="31F74C14"/>
    <w:rsid w:val="328626B9"/>
    <w:rsid w:val="333522E5"/>
    <w:rsid w:val="334D2336"/>
    <w:rsid w:val="339B6E26"/>
    <w:rsid w:val="339C09C3"/>
    <w:rsid w:val="33CF4339"/>
    <w:rsid w:val="33F425AD"/>
    <w:rsid w:val="33FB1B8D"/>
    <w:rsid w:val="3412209E"/>
    <w:rsid w:val="342033A2"/>
    <w:rsid w:val="343E5F1E"/>
    <w:rsid w:val="348240B1"/>
    <w:rsid w:val="34CB1E80"/>
    <w:rsid w:val="34DA1DFC"/>
    <w:rsid w:val="34F33640"/>
    <w:rsid w:val="35004CED"/>
    <w:rsid w:val="350D0C35"/>
    <w:rsid w:val="35774103"/>
    <w:rsid w:val="357F234A"/>
    <w:rsid w:val="35917DCF"/>
    <w:rsid w:val="35CD1307"/>
    <w:rsid w:val="35F03248"/>
    <w:rsid w:val="36051E16"/>
    <w:rsid w:val="361E6007"/>
    <w:rsid w:val="368A27D7"/>
    <w:rsid w:val="370945C1"/>
    <w:rsid w:val="37132DDB"/>
    <w:rsid w:val="372431A9"/>
    <w:rsid w:val="375B171C"/>
    <w:rsid w:val="375C57E0"/>
    <w:rsid w:val="37A934FC"/>
    <w:rsid w:val="387C049D"/>
    <w:rsid w:val="38AF3D4B"/>
    <w:rsid w:val="38C56C42"/>
    <w:rsid w:val="3905700A"/>
    <w:rsid w:val="39243934"/>
    <w:rsid w:val="39475874"/>
    <w:rsid w:val="395A55A8"/>
    <w:rsid w:val="397B570E"/>
    <w:rsid w:val="399F1246"/>
    <w:rsid w:val="39B81D84"/>
    <w:rsid w:val="39C13A78"/>
    <w:rsid w:val="39DC07CC"/>
    <w:rsid w:val="39F942C0"/>
    <w:rsid w:val="3A1E0383"/>
    <w:rsid w:val="3A9073CB"/>
    <w:rsid w:val="3AA12AE2"/>
    <w:rsid w:val="3AAE056A"/>
    <w:rsid w:val="3AB46BCD"/>
    <w:rsid w:val="3ADB44C6"/>
    <w:rsid w:val="3AE113B1"/>
    <w:rsid w:val="3AF94BB6"/>
    <w:rsid w:val="3B246063"/>
    <w:rsid w:val="3BDF37C8"/>
    <w:rsid w:val="3C08753D"/>
    <w:rsid w:val="3C125CC6"/>
    <w:rsid w:val="3C2F4ACA"/>
    <w:rsid w:val="3C662E76"/>
    <w:rsid w:val="3CBA010B"/>
    <w:rsid w:val="3CC66AB0"/>
    <w:rsid w:val="3CDC1812"/>
    <w:rsid w:val="3CE8111C"/>
    <w:rsid w:val="3D221725"/>
    <w:rsid w:val="3D3B4408"/>
    <w:rsid w:val="3D5567B2"/>
    <w:rsid w:val="3D6360E5"/>
    <w:rsid w:val="3DA6700D"/>
    <w:rsid w:val="3DCF0C40"/>
    <w:rsid w:val="3E2C25C0"/>
    <w:rsid w:val="3E3363C7"/>
    <w:rsid w:val="3E66054B"/>
    <w:rsid w:val="3E9055C8"/>
    <w:rsid w:val="3E9E50B4"/>
    <w:rsid w:val="3EC314F9"/>
    <w:rsid w:val="3EED513D"/>
    <w:rsid w:val="3F257CAA"/>
    <w:rsid w:val="3F6D2CD8"/>
    <w:rsid w:val="3F8B3286"/>
    <w:rsid w:val="3FAD1589"/>
    <w:rsid w:val="3FC9475C"/>
    <w:rsid w:val="4061721C"/>
    <w:rsid w:val="40DA47B5"/>
    <w:rsid w:val="40EA7211"/>
    <w:rsid w:val="411B5612"/>
    <w:rsid w:val="41262CC9"/>
    <w:rsid w:val="41432DC5"/>
    <w:rsid w:val="41592C89"/>
    <w:rsid w:val="415C1292"/>
    <w:rsid w:val="4184399F"/>
    <w:rsid w:val="41A27781"/>
    <w:rsid w:val="41A54E48"/>
    <w:rsid w:val="41BF0441"/>
    <w:rsid w:val="41C10209"/>
    <w:rsid w:val="41D05755"/>
    <w:rsid w:val="41D2400B"/>
    <w:rsid w:val="41E212A8"/>
    <w:rsid w:val="42032365"/>
    <w:rsid w:val="420F2CA7"/>
    <w:rsid w:val="42531CDE"/>
    <w:rsid w:val="4276265D"/>
    <w:rsid w:val="431E31A2"/>
    <w:rsid w:val="43275358"/>
    <w:rsid w:val="43754DFD"/>
    <w:rsid w:val="4378135C"/>
    <w:rsid w:val="439D67BD"/>
    <w:rsid w:val="43B313EB"/>
    <w:rsid w:val="43DA0BC1"/>
    <w:rsid w:val="44372E68"/>
    <w:rsid w:val="447200CB"/>
    <w:rsid w:val="44C63E52"/>
    <w:rsid w:val="44DA07EB"/>
    <w:rsid w:val="45064FAD"/>
    <w:rsid w:val="45362927"/>
    <w:rsid w:val="456F23DB"/>
    <w:rsid w:val="45A831F7"/>
    <w:rsid w:val="45EC7F77"/>
    <w:rsid w:val="45F20916"/>
    <w:rsid w:val="46037733"/>
    <w:rsid w:val="46D60972"/>
    <w:rsid w:val="47224F18"/>
    <w:rsid w:val="47266AC9"/>
    <w:rsid w:val="4799460D"/>
    <w:rsid w:val="47E0278A"/>
    <w:rsid w:val="47F26EC9"/>
    <w:rsid w:val="47F7394B"/>
    <w:rsid w:val="481704FC"/>
    <w:rsid w:val="4823125B"/>
    <w:rsid w:val="483536F3"/>
    <w:rsid w:val="48360F8E"/>
    <w:rsid w:val="486B1EB6"/>
    <w:rsid w:val="48733F90"/>
    <w:rsid w:val="489E2702"/>
    <w:rsid w:val="48BF2E52"/>
    <w:rsid w:val="48D643E0"/>
    <w:rsid w:val="495564C5"/>
    <w:rsid w:val="49954F00"/>
    <w:rsid w:val="49D219AC"/>
    <w:rsid w:val="49F41101"/>
    <w:rsid w:val="4A071040"/>
    <w:rsid w:val="4A584BF6"/>
    <w:rsid w:val="4A8055D9"/>
    <w:rsid w:val="4ABF3BE6"/>
    <w:rsid w:val="4AF97A1B"/>
    <w:rsid w:val="4B3018CD"/>
    <w:rsid w:val="4B5E361E"/>
    <w:rsid w:val="4B9A5CD8"/>
    <w:rsid w:val="4B9E1324"/>
    <w:rsid w:val="4BCE772F"/>
    <w:rsid w:val="4BE63AA5"/>
    <w:rsid w:val="4C0D1AB5"/>
    <w:rsid w:val="4C435427"/>
    <w:rsid w:val="4C4C4D36"/>
    <w:rsid w:val="4C507BE4"/>
    <w:rsid w:val="4C6A38FC"/>
    <w:rsid w:val="4CE27CFA"/>
    <w:rsid w:val="4D0258E3"/>
    <w:rsid w:val="4E0F64E4"/>
    <w:rsid w:val="4E465CA3"/>
    <w:rsid w:val="4E69282A"/>
    <w:rsid w:val="4E782E22"/>
    <w:rsid w:val="4EA8502F"/>
    <w:rsid w:val="4F564B0B"/>
    <w:rsid w:val="4FEC63D6"/>
    <w:rsid w:val="50065DEA"/>
    <w:rsid w:val="504E6BA1"/>
    <w:rsid w:val="50A728A6"/>
    <w:rsid w:val="50D3721A"/>
    <w:rsid w:val="510F6A47"/>
    <w:rsid w:val="51120433"/>
    <w:rsid w:val="513242BC"/>
    <w:rsid w:val="51386295"/>
    <w:rsid w:val="5141548E"/>
    <w:rsid w:val="519A04CE"/>
    <w:rsid w:val="52231707"/>
    <w:rsid w:val="5245718B"/>
    <w:rsid w:val="527C20CB"/>
    <w:rsid w:val="52996721"/>
    <w:rsid w:val="52C245F2"/>
    <w:rsid w:val="52D65847"/>
    <w:rsid w:val="52FB2BFD"/>
    <w:rsid w:val="531E0E1F"/>
    <w:rsid w:val="534D6CDE"/>
    <w:rsid w:val="535A0527"/>
    <w:rsid w:val="5388713D"/>
    <w:rsid w:val="53C658BC"/>
    <w:rsid w:val="543E18F6"/>
    <w:rsid w:val="5446091F"/>
    <w:rsid w:val="54504198"/>
    <w:rsid w:val="5492158B"/>
    <w:rsid w:val="54D74CB2"/>
    <w:rsid w:val="555753D0"/>
    <w:rsid w:val="55C0054D"/>
    <w:rsid w:val="561A25D7"/>
    <w:rsid w:val="563A433F"/>
    <w:rsid w:val="56794FD7"/>
    <w:rsid w:val="56D976B4"/>
    <w:rsid w:val="56E90ADE"/>
    <w:rsid w:val="572556DC"/>
    <w:rsid w:val="57293D16"/>
    <w:rsid w:val="572F0F20"/>
    <w:rsid w:val="5730129E"/>
    <w:rsid w:val="57325016"/>
    <w:rsid w:val="5734671F"/>
    <w:rsid w:val="575815DD"/>
    <w:rsid w:val="57B41ECF"/>
    <w:rsid w:val="5819155B"/>
    <w:rsid w:val="58421289"/>
    <w:rsid w:val="587B479B"/>
    <w:rsid w:val="588C34A4"/>
    <w:rsid w:val="58B57152"/>
    <w:rsid w:val="58D1279F"/>
    <w:rsid w:val="593F70EC"/>
    <w:rsid w:val="59694972"/>
    <w:rsid w:val="597856E9"/>
    <w:rsid w:val="59BE0DE3"/>
    <w:rsid w:val="59BE5DFE"/>
    <w:rsid w:val="59BF138C"/>
    <w:rsid w:val="5A071C80"/>
    <w:rsid w:val="5A132EDD"/>
    <w:rsid w:val="5A3C11E6"/>
    <w:rsid w:val="5A3E4F08"/>
    <w:rsid w:val="5A5A4FB0"/>
    <w:rsid w:val="5AAA4355"/>
    <w:rsid w:val="5B383A30"/>
    <w:rsid w:val="5B386973"/>
    <w:rsid w:val="5B502F5C"/>
    <w:rsid w:val="5B8A5421"/>
    <w:rsid w:val="5B97061F"/>
    <w:rsid w:val="5BA23929"/>
    <w:rsid w:val="5BEB4FA2"/>
    <w:rsid w:val="5C05719D"/>
    <w:rsid w:val="5C186FA6"/>
    <w:rsid w:val="5C2F5028"/>
    <w:rsid w:val="5C4E0C1B"/>
    <w:rsid w:val="5C7004BA"/>
    <w:rsid w:val="5CB84481"/>
    <w:rsid w:val="5CC6682F"/>
    <w:rsid w:val="5CD23E41"/>
    <w:rsid w:val="5D5C4B9B"/>
    <w:rsid w:val="5D80551E"/>
    <w:rsid w:val="5DA64068"/>
    <w:rsid w:val="5DC41B67"/>
    <w:rsid w:val="5DE72CDE"/>
    <w:rsid w:val="5E9E154E"/>
    <w:rsid w:val="5EAB325C"/>
    <w:rsid w:val="5EB12C47"/>
    <w:rsid w:val="5F597F1C"/>
    <w:rsid w:val="5F9D6D50"/>
    <w:rsid w:val="5FCD5625"/>
    <w:rsid w:val="602E4ADC"/>
    <w:rsid w:val="60336223"/>
    <w:rsid w:val="60A4759A"/>
    <w:rsid w:val="60A93AAB"/>
    <w:rsid w:val="60B13450"/>
    <w:rsid w:val="60DE269E"/>
    <w:rsid w:val="60E318BB"/>
    <w:rsid w:val="60EC7F1C"/>
    <w:rsid w:val="617215D0"/>
    <w:rsid w:val="617D1584"/>
    <w:rsid w:val="619F3BDB"/>
    <w:rsid w:val="61EA6C19"/>
    <w:rsid w:val="62EB65A4"/>
    <w:rsid w:val="62F15D85"/>
    <w:rsid w:val="63234417"/>
    <w:rsid w:val="6379701E"/>
    <w:rsid w:val="638B6689"/>
    <w:rsid w:val="63B96F30"/>
    <w:rsid w:val="642B52C7"/>
    <w:rsid w:val="64393E88"/>
    <w:rsid w:val="644A773E"/>
    <w:rsid w:val="64635CD5"/>
    <w:rsid w:val="649519CE"/>
    <w:rsid w:val="64DF0042"/>
    <w:rsid w:val="650A75D2"/>
    <w:rsid w:val="653F22BB"/>
    <w:rsid w:val="659D5197"/>
    <w:rsid w:val="65D85E53"/>
    <w:rsid w:val="65EC3CF5"/>
    <w:rsid w:val="66093F61"/>
    <w:rsid w:val="663C6FE6"/>
    <w:rsid w:val="664939DC"/>
    <w:rsid w:val="664A62BB"/>
    <w:rsid w:val="66523DA7"/>
    <w:rsid w:val="667A0C0F"/>
    <w:rsid w:val="667C5CEA"/>
    <w:rsid w:val="66D02156"/>
    <w:rsid w:val="66E1632B"/>
    <w:rsid w:val="676E79D1"/>
    <w:rsid w:val="679247EA"/>
    <w:rsid w:val="67F04EB8"/>
    <w:rsid w:val="684816BD"/>
    <w:rsid w:val="68B735CD"/>
    <w:rsid w:val="68B97536"/>
    <w:rsid w:val="68CD0C63"/>
    <w:rsid w:val="68EC23C5"/>
    <w:rsid w:val="690347A6"/>
    <w:rsid w:val="69117181"/>
    <w:rsid w:val="696C43B8"/>
    <w:rsid w:val="6986075F"/>
    <w:rsid w:val="699A6BFD"/>
    <w:rsid w:val="69BC0531"/>
    <w:rsid w:val="69C1443B"/>
    <w:rsid w:val="69D44009"/>
    <w:rsid w:val="6A252080"/>
    <w:rsid w:val="6A274783"/>
    <w:rsid w:val="6A2B6D39"/>
    <w:rsid w:val="6A794FDE"/>
    <w:rsid w:val="6AC03FD7"/>
    <w:rsid w:val="6B1B5180"/>
    <w:rsid w:val="6B450815"/>
    <w:rsid w:val="6C16685D"/>
    <w:rsid w:val="6C2D41FA"/>
    <w:rsid w:val="6CC24944"/>
    <w:rsid w:val="6D57712D"/>
    <w:rsid w:val="6D73287C"/>
    <w:rsid w:val="6DA2127C"/>
    <w:rsid w:val="6DB70C38"/>
    <w:rsid w:val="6DC170C7"/>
    <w:rsid w:val="6DC742B3"/>
    <w:rsid w:val="6DD26689"/>
    <w:rsid w:val="6E274D51"/>
    <w:rsid w:val="6E2D0AC4"/>
    <w:rsid w:val="6E390902"/>
    <w:rsid w:val="6EAD0DD6"/>
    <w:rsid w:val="6F8932D5"/>
    <w:rsid w:val="6F8941EF"/>
    <w:rsid w:val="6FA06B69"/>
    <w:rsid w:val="6FD82D09"/>
    <w:rsid w:val="6FE71BF7"/>
    <w:rsid w:val="6FF24BF2"/>
    <w:rsid w:val="705362D1"/>
    <w:rsid w:val="706C2EEF"/>
    <w:rsid w:val="70EE40E5"/>
    <w:rsid w:val="71A31B56"/>
    <w:rsid w:val="71CB1109"/>
    <w:rsid w:val="71CC633B"/>
    <w:rsid w:val="71D820DF"/>
    <w:rsid w:val="72070621"/>
    <w:rsid w:val="72231B12"/>
    <w:rsid w:val="722F367A"/>
    <w:rsid w:val="726739D4"/>
    <w:rsid w:val="727F759F"/>
    <w:rsid w:val="72AD105D"/>
    <w:rsid w:val="72C94629"/>
    <w:rsid w:val="72F77CB0"/>
    <w:rsid w:val="731109BF"/>
    <w:rsid w:val="734463A5"/>
    <w:rsid w:val="73551434"/>
    <w:rsid w:val="7370424A"/>
    <w:rsid w:val="7381258C"/>
    <w:rsid w:val="738B6460"/>
    <w:rsid w:val="73BB44C3"/>
    <w:rsid w:val="743D6E14"/>
    <w:rsid w:val="744F471E"/>
    <w:rsid w:val="7466780C"/>
    <w:rsid w:val="748443A7"/>
    <w:rsid w:val="74CD6F9F"/>
    <w:rsid w:val="74FF07D6"/>
    <w:rsid w:val="753A2460"/>
    <w:rsid w:val="75AE311E"/>
    <w:rsid w:val="75B369E2"/>
    <w:rsid w:val="75D94B83"/>
    <w:rsid w:val="760308C7"/>
    <w:rsid w:val="765C30F3"/>
    <w:rsid w:val="767E572A"/>
    <w:rsid w:val="76CF2B36"/>
    <w:rsid w:val="76D34FBC"/>
    <w:rsid w:val="77222BBD"/>
    <w:rsid w:val="775E49B8"/>
    <w:rsid w:val="77F12834"/>
    <w:rsid w:val="78006D3F"/>
    <w:rsid w:val="78017D75"/>
    <w:rsid w:val="781C51FB"/>
    <w:rsid w:val="78BF3753"/>
    <w:rsid w:val="790F6B0E"/>
    <w:rsid w:val="792879F4"/>
    <w:rsid w:val="79293E6A"/>
    <w:rsid w:val="794D4880"/>
    <w:rsid w:val="7A073617"/>
    <w:rsid w:val="7A141ECD"/>
    <w:rsid w:val="7A5B079B"/>
    <w:rsid w:val="7A7A3DD4"/>
    <w:rsid w:val="7A7E03EF"/>
    <w:rsid w:val="7A9839C5"/>
    <w:rsid w:val="7A9F3D04"/>
    <w:rsid w:val="7AFE508C"/>
    <w:rsid w:val="7B070007"/>
    <w:rsid w:val="7B2A7C2F"/>
    <w:rsid w:val="7B495950"/>
    <w:rsid w:val="7B6F5980"/>
    <w:rsid w:val="7BAA3619"/>
    <w:rsid w:val="7BB857F2"/>
    <w:rsid w:val="7C176405"/>
    <w:rsid w:val="7C3E3FCE"/>
    <w:rsid w:val="7C5040D0"/>
    <w:rsid w:val="7C640F56"/>
    <w:rsid w:val="7C6453C2"/>
    <w:rsid w:val="7C741973"/>
    <w:rsid w:val="7CE845C0"/>
    <w:rsid w:val="7D11567B"/>
    <w:rsid w:val="7D2C69EB"/>
    <w:rsid w:val="7D6A4C5A"/>
    <w:rsid w:val="7D6C452F"/>
    <w:rsid w:val="7D734D87"/>
    <w:rsid w:val="7DE6123C"/>
    <w:rsid w:val="7E0473AC"/>
    <w:rsid w:val="7E0917D0"/>
    <w:rsid w:val="7E1535D8"/>
    <w:rsid w:val="7E1A215C"/>
    <w:rsid w:val="7EA131CA"/>
    <w:rsid w:val="7EB753ED"/>
    <w:rsid w:val="7EC0489D"/>
    <w:rsid w:val="7EEF6E2F"/>
    <w:rsid w:val="7F951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line="360" w:lineRule="auto"/>
      <w:jc w:val="left"/>
      <w:outlineLvl w:val="0"/>
    </w:pPr>
    <w:rPr>
      <w:bCs/>
      <w:kern w:val="44"/>
      <w:sz w:val="24"/>
      <w:szCs w:val="44"/>
    </w:rPr>
  </w:style>
  <w:style w:type="paragraph" w:styleId="3">
    <w:name w:val="heading 2"/>
    <w:basedOn w:val="1"/>
    <w:next w:val="1"/>
    <w:autoRedefine/>
    <w:qFormat/>
    <w:uiPriority w:val="0"/>
    <w:pPr>
      <w:keepNext/>
      <w:keepLines/>
      <w:spacing w:before="120" w:after="120" w:line="413" w:lineRule="auto"/>
      <w:outlineLvl w:val="1"/>
    </w:pPr>
    <w:rPr>
      <w:rFonts w:ascii="Arial" w:hAnsi="Arial"/>
      <w:b/>
      <w:sz w:val="28"/>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Cs w:val="22"/>
    </w:rPr>
  </w:style>
  <w:style w:type="paragraph" w:styleId="6">
    <w:name w:val="Normal Indent"/>
    <w:basedOn w:val="1"/>
    <w:autoRedefine/>
    <w:qFormat/>
    <w:uiPriority w:val="0"/>
    <w:pPr>
      <w:spacing w:line="360" w:lineRule="auto"/>
      <w:ind w:firstLine="454"/>
    </w:pPr>
    <w:rPr>
      <w:sz w:val="24"/>
      <w:szCs w:val="20"/>
    </w:rPr>
  </w:style>
  <w:style w:type="paragraph" w:styleId="7">
    <w:name w:val="annotation text"/>
    <w:basedOn w:val="1"/>
    <w:link w:val="43"/>
    <w:autoRedefine/>
    <w:qFormat/>
    <w:uiPriority w:val="0"/>
    <w:pPr>
      <w:jc w:val="left"/>
    </w:pPr>
  </w:style>
  <w:style w:type="paragraph" w:styleId="8">
    <w:name w:val="Body Text"/>
    <w:basedOn w:val="1"/>
    <w:next w:val="1"/>
    <w:autoRedefine/>
    <w:unhideWhenUsed/>
    <w:qFormat/>
    <w:uiPriority w:val="99"/>
    <w:pPr>
      <w:spacing w:after="120"/>
    </w:pPr>
  </w:style>
  <w:style w:type="paragraph" w:styleId="9">
    <w:name w:val="Body Text Indent"/>
    <w:basedOn w:val="1"/>
    <w:qFormat/>
    <w:uiPriority w:val="0"/>
    <w:pPr>
      <w:ind w:firstLine="560" w:firstLineChars="200"/>
    </w:pPr>
    <w:rPr>
      <w:sz w:val="24"/>
    </w:rPr>
  </w:style>
  <w:style w:type="paragraph" w:styleId="10">
    <w:name w:val="Plain Text"/>
    <w:basedOn w:val="1"/>
    <w:autoRedefine/>
    <w:qFormat/>
    <w:uiPriority w:val="0"/>
    <w:rPr>
      <w:rFonts w:ascii="宋体" w:hAnsi="Courier New"/>
      <w:szCs w:val="20"/>
    </w:rPr>
  </w:style>
  <w:style w:type="paragraph" w:styleId="11">
    <w:name w:val="Balloon Text"/>
    <w:basedOn w:val="1"/>
    <w:link w:val="45"/>
    <w:qFormat/>
    <w:uiPriority w:val="0"/>
    <w:rPr>
      <w:sz w:val="18"/>
      <w:szCs w:val="18"/>
    </w:rPr>
  </w:style>
  <w:style w:type="paragraph" w:styleId="12">
    <w:name w:val="footer"/>
    <w:basedOn w:val="1"/>
    <w:link w:val="46"/>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14">
    <w:name w:val="toc 1"/>
    <w:basedOn w:val="1"/>
    <w:next w:val="1"/>
    <w:autoRedefine/>
    <w:qFormat/>
    <w:uiPriority w:val="39"/>
  </w:style>
  <w:style w:type="paragraph" w:styleId="15">
    <w:name w:val="toc 2"/>
    <w:basedOn w:val="1"/>
    <w:next w:val="1"/>
    <w:autoRedefine/>
    <w:qFormat/>
    <w:uiPriority w:val="39"/>
    <w:pPr>
      <w:ind w:left="420" w:leftChars="200"/>
    </w:pPr>
  </w:style>
  <w:style w:type="paragraph" w:styleId="16">
    <w:name w:val="HTML Preformatted"/>
    <w:basedOn w:val="1"/>
    <w:link w:val="4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autoRedefine/>
    <w:qFormat/>
    <w:uiPriority w:val="0"/>
    <w:pPr>
      <w:spacing w:beforeAutospacing="1" w:afterAutospacing="1"/>
      <w:jc w:val="left"/>
    </w:pPr>
    <w:rPr>
      <w:kern w:val="0"/>
      <w:sz w:val="24"/>
    </w:rPr>
  </w:style>
  <w:style w:type="paragraph" w:styleId="18">
    <w:name w:val="annotation subject"/>
    <w:basedOn w:val="7"/>
    <w:next w:val="7"/>
    <w:link w:val="44"/>
    <w:qFormat/>
    <w:uiPriority w:val="0"/>
    <w:rPr>
      <w:b/>
      <w:bCs/>
    </w:rPr>
  </w:style>
  <w:style w:type="paragraph" w:styleId="19">
    <w:name w:val="Body Text First Indent"/>
    <w:basedOn w:val="8"/>
    <w:next w:val="1"/>
    <w:autoRedefine/>
    <w:qFormat/>
    <w:uiPriority w:val="0"/>
    <w:pPr>
      <w:ind w:firstLine="420" w:firstLineChars="1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autoRedefine/>
    <w:qFormat/>
    <w:uiPriority w:val="99"/>
    <w:rPr>
      <w:color w:val="0000FF"/>
      <w:u w:val="single"/>
    </w:rPr>
  </w:style>
  <w:style w:type="character" w:styleId="24">
    <w:name w:val="annotation reference"/>
    <w:basedOn w:val="22"/>
    <w:qFormat/>
    <w:uiPriority w:val="0"/>
    <w:rPr>
      <w:sz w:val="21"/>
      <w:szCs w:val="21"/>
    </w:rPr>
  </w:style>
  <w:style w:type="character" w:styleId="25">
    <w:name w:val="HTML Sample"/>
    <w:basedOn w:val="22"/>
    <w:autoRedefine/>
    <w:qFormat/>
    <w:uiPriority w:val="0"/>
    <w:rPr>
      <w:rFonts w:ascii="Courier New" w:hAnsi="Courier New"/>
    </w:rPr>
  </w:style>
  <w:style w:type="paragraph" w:customStyle="1" w:styleId="26">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27">
    <w:name w:val="font61"/>
    <w:basedOn w:val="22"/>
    <w:autoRedefine/>
    <w:qFormat/>
    <w:uiPriority w:val="0"/>
    <w:rPr>
      <w:rFonts w:hint="eastAsia" w:ascii="宋体" w:hAnsi="宋体" w:eastAsia="宋体" w:cs="宋体"/>
      <w:color w:val="000000"/>
      <w:sz w:val="24"/>
      <w:szCs w:val="24"/>
      <w:u w:val="none"/>
    </w:rPr>
  </w:style>
  <w:style w:type="character" w:customStyle="1" w:styleId="28">
    <w:name w:val="font51"/>
    <w:basedOn w:val="22"/>
    <w:autoRedefine/>
    <w:qFormat/>
    <w:uiPriority w:val="0"/>
    <w:rPr>
      <w:rFonts w:hint="default" w:ascii="Times New Roman" w:hAnsi="Times New Roman" w:cs="Times New Roman"/>
      <w:color w:val="000000"/>
      <w:sz w:val="24"/>
      <w:szCs w:val="24"/>
      <w:u w:val="none"/>
    </w:rPr>
  </w:style>
  <w:style w:type="paragraph" w:customStyle="1" w:styleId="29">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0">
    <w:name w:val="样式1"/>
    <w:autoRedefine/>
    <w:qFormat/>
    <w:uiPriority w:val="0"/>
    <w:pPr>
      <w:widowControl w:val="0"/>
      <w:jc w:val="center"/>
    </w:pPr>
    <w:rPr>
      <w:rFonts w:ascii="宋体" w:hAnsi="宋体" w:eastAsia="宋体" w:cs="Times New Roman"/>
      <w:kern w:val="2"/>
      <w:sz w:val="30"/>
      <w:szCs w:val="28"/>
      <w:lang w:val="en-US" w:eastAsia="zh-CN" w:bidi="ar-SA"/>
    </w:rPr>
  </w:style>
  <w:style w:type="paragraph" w:customStyle="1" w:styleId="31">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32">
    <w:name w:val="_Style 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33">
    <w:name w:val="font41"/>
    <w:basedOn w:val="22"/>
    <w:autoRedefine/>
    <w:qFormat/>
    <w:uiPriority w:val="0"/>
    <w:rPr>
      <w:rFonts w:hint="default" w:ascii="Times New Roman" w:hAnsi="Times New Roman" w:cs="Times New Roman"/>
      <w:color w:val="000000"/>
      <w:sz w:val="22"/>
      <w:szCs w:val="22"/>
      <w:u w:val="none"/>
    </w:rPr>
  </w:style>
  <w:style w:type="character" w:customStyle="1" w:styleId="34">
    <w:name w:val="font31"/>
    <w:basedOn w:val="22"/>
    <w:autoRedefine/>
    <w:qFormat/>
    <w:uiPriority w:val="0"/>
    <w:rPr>
      <w:rFonts w:hint="eastAsia" w:ascii="宋体" w:hAnsi="宋体" w:eastAsia="宋体" w:cs="宋体"/>
      <w:color w:val="000000"/>
      <w:sz w:val="24"/>
      <w:szCs w:val="24"/>
      <w:u w:val="none"/>
    </w:rPr>
  </w:style>
  <w:style w:type="character" w:customStyle="1" w:styleId="35">
    <w:name w:val="font01"/>
    <w:basedOn w:val="22"/>
    <w:autoRedefine/>
    <w:qFormat/>
    <w:uiPriority w:val="0"/>
    <w:rPr>
      <w:rFonts w:hint="eastAsia" w:ascii="宋体" w:hAnsi="宋体" w:eastAsia="宋体" w:cs="宋体"/>
      <w:color w:val="000000"/>
      <w:sz w:val="22"/>
      <w:szCs w:val="22"/>
      <w:u w:val="none"/>
    </w:rPr>
  </w:style>
  <w:style w:type="character" w:customStyle="1" w:styleId="36">
    <w:name w:val="font11"/>
    <w:basedOn w:val="22"/>
    <w:autoRedefine/>
    <w:qFormat/>
    <w:uiPriority w:val="0"/>
    <w:rPr>
      <w:rFonts w:hint="eastAsia" w:ascii="宋体" w:hAnsi="宋体" w:eastAsia="宋体" w:cs="宋体"/>
      <w:color w:val="000000"/>
      <w:sz w:val="22"/>
      <w:szCs w:val="22"/>
      <w:u w:val="none"/>
    </w:rPr>
  </w:style>
  <w:style w:type="paragraph" w:customStyle="1" w:styleId="37">
    <w:name w:val="Style1"/>
    <w:basedOn w:val="1"/>
    <w:autoRedefine/>
    <w:qFormat/>
    <w:uiPriority w:val="99"/>
    <w:pPr>
      <w:tabs>
        <w:tab w:val="left" w:pos="-720"/>
      </w:tabs>
      <w:spacing w:after="120"/>
    </w:pPr>
    <w:rPr>
      <w:spacing w:val="-3"/>
      <w:sz w:val="24"/>
      <w:szCs w:val="20"/>
      <w:lang w:val="en-AU" w:eastAsia="en-US"/>
    </w:rPr>
  </w:style>
  <w:style w:type="paragraph" w:customStyle="1" w:styleId="3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9">
    <w:name w:val="List Paragraph"/>
    <w:basedOn w:val="1"/>
    <w:autoRedefine/>
    <w:qFormat/>
    <w:uiPriority w:val="34"/>
    <w:pPr>
      <w:numPr>
        <w:ilvl w:val="0"/>
        <w:numId w:val="2"/>
      </w:numPr>
      <w:spacing w:line="480" w:lineRule="auto"/>
      <w:ind w:right="240"/>
    </w:pPr>
    <w:rPr>
      <w:rFonts w:ascii="Times New Roman" w:hAnsi="Times New Roman"/>
      <w:sz w:val="24"/>
    </w:rPr>
  </w:style>
  <w:style w:type="paragraph" w:customStyle="1" w:styleId="40">
    <w:name w:val="Style 8 pt Justified Left:  0 cm Hanging:  0.25 cm"/>
    <w:basedOn w:val="1"/>
    <w:autoRedefine/>
    <w:qFormat/>
    <w:uiPriority w:val="0"/>
    <w:pPr>
      <w:widowControl/>
      <w:tabs>
        <w:tab w:val="left" w:pos="142"/>
      </w:tabs>
      <w:ind w:left="142" w:hanging="142"/>
    </w:pPr>
    <w:rPr>
      <w:rFonts w:ascii="Arial" w:hAnsi="Arial"/>
      <w:kern w:val="0"/>
      <w:sz w:val="16"/>
      <w:lang w:eastAsia="en-US"/>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2">
    <w:name w:val="HTML 预设格式 Char"/>
    <w:basedOn w:val="22"/>
    <w:link w:val="16"/>
    <w:qFormat/>
    <w:uiPriority w:val="0"/>
    <w:rPr>
      <w:rFonts w:ascii="Arial" w:hAnsi="Arial" w:cs="Arial"/>
      <w:sz w:val="21"/>
      <w:szCs w:val="21"/>
    </w:rPr>
  </w:style>
  <w:style w:type="character" w:customStyle="1" w:styleId="43">
    <w:name w:val="批注文字 Char"/>
    <w:basedOn w:val="22"/>
    <w:link w:val="7"/>
    <w:qFormat/>
    <w:uiPriority w:val="0"/>
    <w:rPr>
      <w:rFonts w:ascii="Calibri" w:hAnsi="Calibri"/>
      <w:kern w:val="2"/>
      <w:sz w:val="21"/>
      <w:szCs w:val="24"/>
    </w:rPr>
  </w:style>
  <w:style w:type="character" w:customStyle="1" w:styleId="44">
    <w:name w:val="批注主题 Char"/>
    <w:basedOn w:val="43"/>
    <w:link w:val="18"/>
    <w:qFormat/>
    <w:uiPriority w:val="0"/>
    <w:rPr>
      <w:rFonts w:ascii="Calibri" w:hAnsi="Calibri"/>
      <w:b/>
      <w:bCs/>
      <w:kern w:val="2"/>
      <w:sz w:val="21"/>
      <w:szCs w:val="24"/>
    </w:rPr>
  </w:style>
  <w:style w:type="character" w:customStyle="1" w:styleId="45">
    <w:name w:val="批注框文本 Char"/>
    <w:basedOn w:val="22"/>
    <w:link w:val="11"/>
    <w:qFormat/>
    <w:uiPriority w:val="0"/>
    <w:rPr>
      <w:rFonts w:ascii="Calibri" w:hAnsi="Calibri"/>
      <w:kern w:val="2"/>
      <w:sz w:val="18"/>
      <w:szCs w:val="18"/>
    </w:rPr>
  </w:style>
  <w:style w:type="character" w:customStyle="1" w:styleId="46">
    <w:name w:val="页脚 Char"/>
    <w:basedOn w:val="22"/>
    <w:link w:val="12"/>
    <w:qFormat/>
    <w:uiPriority w:val="99"/>
    <w:rPr>
      <w:rFonts w:ascii="Calibri" w:hAnsi="Calibri"/>
      <w:kern w:val="2"/>
      <w:sz w:val="18"/>
      <w:szCs w:val="18"/>
    </w:rPr>
  </w:style>
  <w:style w:type="table" w:customStyle="1" w:styleId="47">
    <w:name w:val="Table Normal"/>
    <w:unhideWhenUsed/>
    <w:qFormat/>
    <w:uiPriority w:val="0"/>
    <w:tblPr>
      <w:tblCellMar>
        <w:top w:w="0" w:type="dxa"/>
        <w:left w:w="0" w:type="dxa"/>
        <w:bottom w:w="0" w:type="dxa"/>
        <w:right w:w="0" w:type="dxa"/>
      </w:tblCellMar>
    </w:tblPr>
  </w:style>
  <w:style w:type="table" w:customStyle="1" w:styleId="48">
    <w:name w:val="Table Normal1"/>
    <w:autoRedefine/>
    <w:semiHidden/>
    <w:unhideWhenUsed/>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微软雅黑" w:hAnsi="微软雅黑" w:eastAsia="微软雅黑" w:cs="微软雅黑"/>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B2D568-FB5C-4F3F-ABE8-DBEC6938CAF6}">
  <ds:schemaRefs/>
</ds:datastoreItem>
</file>

<file path=docProps/app.xml><?xml version="1.0" encoding="utf-8"?>
<Properties xmlns="http://schemas.openxmlformats.org/officeDocument/2006/extended-properties" xmlns:vt="http://schemas.openxmlformats.org/officeDocument/2006/docPropsVTypes">
  <Template>Normal.dotm</Template>
  <Pages>99</Pages>
  <Words>31362</Words>
  <Characters>33117</Characters>
  <Lines>465</Lines>
  <Paragraphs>130</Paragraphs>
  <TotalTime>170</TotalTime>
  <ScaleCrop>false</ScaleCrop>
  <LinksUpToDate>false</LinksUpToDate>
  <CharactersWithSpaces>33276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2023-10-24T06:07:00Z</dcterms:created>
  <dc:creator>萍</dc:creator>
  <cp:lastModifiedBy>魏巍</cp:lastModifiedBy>
  <cp:lastPrinted>2024-04-09T00:23:00Z</cp:lastPrinted>
  <dcterms:modified xsi:type="dcterms:W3CDTF">2025-09-26T10:06:24Z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993AB89FBACA450C826B124DE8F70CFD_13</vt:lpwstr>
  </property>
  <property fmtid="{D5CDD505-2E9C-101B-9397-08002B2CF9AE}" pid="4" name="KSOTemplateDocerSaveRecord">
    <vt:lpwstr>eyJoZGlkIjoiNzhhMzcxM2ExNTJjZjcyZGU4ZjYxMDcxNmJkZjA0NWEiLCJ1c2VySWQiOiIzNzg2NTYzMDgifQ==</vt:lpwstr>
  </property>
</Properties>
</file>