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495C">
      <w:pPr>
        <w:pStyle w:val="2"/>
        <w:widowControl/>
        <w:snapToGrid w:val="0"/>
        <w:spacing w:before="0" w:after="0" w:line="360" w:lineRule="auto"/>
        <w:jc w:val="center"/>
        <w:rPr>
          <w:rFonts w:hint="eastAsia" w:ascii="黑体" w:hAnsi="黑体" w:eastAsia="黑体"/>
          <w:b w:val="0"/>
          <w:color w:val="auto"/>
          <w:highlight w:val="none"/>
        </w:rPr>
      </w:pPr>
      <w:bookmarkStart w:id="0" w:name="_Toc466024555"/>
      <w:bookmarkStart w:id="1" w:name="_Toc24692"/>
      <w:bookmarkStart w:id="2" w:name="_Toc18550"/>
      <w:bookmarkStart w:id="3" w:name="_Toc445554746"/>
      <w:bookmarkStart w:id="4" w:name="_Toc528829640"/>
      <w:bookmarkStart w:id="5" w:name="_Toc28788"/>
      <w:r>
        <w:rPr>
          <w:rFonts w:hint="eastAsia" w:ascii="宋体" w:hAnsi="宋体"/>
          <w:color w:val="auto"/>
          <w:highlight w:val="none"/>
        </w:rPr>
        <w:t>采购需求及技术规格要求</w:t>
      </w:r>
      <w:bookmarkEnd w:id="0"/>
      <w:bookmarkEnd w:id="1"/>
      <w:bookmarkEnd w:id="2"/>
      <w:bookmarkEnd w:id="3"/>
      <w:bookmarkEnd w:id="4"/>
      <w:bookmarkEnd w:id="5"/>
    </w:p>
    <w:p w14:paraId="65B27A99">
      <w:pPr>
        <w:widowControl/>
        <w:rPr>
          <w:rFonts w:hint="eastAsia"/>
          <w:color w:val="auto"/>
          <w:highlight w:val="none"/>
        </w:rPr>
      </w:pPr>
    </w:p>
    <w:p w14:paraId="3623DE78">
      <w:pPr>
        <w:spacing w:line="360" w:lineRule="auto"/>
        <w:rPr>
          <w:rFonts w:ascii="宋体" w:hAnsi="宋体"/>
          <w:b/>
          <w:color w:val="auto"/>
          <w:szCs w:val="21"/>
          <w:highlight w:val="none"/>
        </w:rPr>
      </w:pPr>
      <w:r>
        <w:rPr>
          <w:rFonts w:hint="eastAsia" w:ascii="宋体" w:hAnsi="宋体"/>
          <w:b/>
          <w:color w:val="auto"/>
          <w:szCs w:val="21"/>
          <w:highlight w:val="none"/>
        </w:rPr>
        <w:t>前注：</w:t>
      </w:r>
    </w:p>
    <w:p w14:paraId="55086C37">
      <w:pPr>
        <w:adjustRightInd w:val="0"/>
        <w:snapToGrid w:val="0"/>
        <w:spacing w:before="96" w:beforeLines="40" w:after="96" w:afterLines="4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1、本采购需求中提出的服务方案仅</w:t>
      </w:r>
      <w:bookmarkStart w:id="9" w:name="_GoBack"/>
      <w:bookmarkEnd w:id="9"/>
      <w:r>
        <w:rPr>
          <w:rFonts w:hint="eastAsia" w:ascii="宋体" w:hAnsi="宋体"/>
          <w:color w:val="auto"/>
          <w:szCs w:val="21"/>
          <w:highlight w:val="none"/>
        </w:rPr>
        <w:t>为参考，如无明确限制，投标供应商可以进行优化，提供满足采购人实际需要的更优（或者性能实质上不低于的）服务方案，且此方案须经评标委员会评审认可。</w:t>
      </w:r>
    </w:p>
    <w:p w14:paraId="51DCD7EE">
      <w:pPr>
        <w:adjustRightInd w:val="0"/>
        <w:snapToGrid w:val="0"/>
        <w:spacing w:before="96" w:beforeLines="40" w:after="96" w:afterLines="4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供应商应当在投标文件中列出完成本项目并通过验收所需的所有各项服务等明细表及全部费用。中标人必须确保整体通过采购人及有关主管部门验收；投标供应商应自行踏勘项目现场，如投标供应商因未及时踏勘现场而导致的报价缺项漏项废标、或中标后无法完工，投标供应商自行承担一切后果；</w:t>
      </w:r>
    </w:p>
    <w:p w14:paraId="26615F7B">
      <w:pPr>
        <w:adjustRightInd w:val="0"/>
        <w:snapToGrid w:val="0"/>
        <w:spacing w:before="96" w:beforeLines="40" w:after="96" w:afterLines="4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如涉及商品包装和快递包装，投标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w:t>
      </w:r>
    </w:p>
    <w:p w14:paraId="3775ADF6">
      <w:pPr>
        <w:adjustRightInd w:val="0"/>
        <w:snapToGrid w:val="0"/>
        <w:spacing w:before="96" w:beforeLines="40" w:after="96" w:afterLines="4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4、如采购人允许采用分包方式履行合同的，应当明确可以分包履行的相关内容。</w:t>
      </w:r>
    </w:p>
    <w:p w14:paraId="220C3D09">
      <w:pPr>
        <w:pStyle w:val="3"/>
        <w:spacing w:before="140" w:after="140"/>
        <w:rPr>
          <w:rFonts w:hint="eastAsia" w:ascii="宋体" w:hAnsi="宋体" w:cs="宋体"/>
          <w:color w:val="auto"/>
          <w:sz w:val="21"/>
          <w:szCs w:val="21"/>
          <w:highlight w:val="none"/>
        </w:rPr>
      </w:pPr>
      <w:bookmarkStart w:id="6" w:name="_Toc21798"/>
      <w:bookmarkStart w:id="7" w:name="_Toc4148"/>
      <w:bookmarkStart w:id="8" w:name="_Hlk23621890"/>
      <w:r>
        <w:rPr>
          <w:rFonts w:hint="eastAsia" w:ascii="宋体" w:hAnsi="宋体" w:cs="宋体"/>
          <w:color w:val="auto"/>
          <w:sz w:val="21"/>
          <w:szCs w:val="21"/>
          <w:highlight w:val="none"/>
        </w:rPr>
        <w:t>一、采购需求前附表</w:t>
      </w:r>
      <w:bookmarkEnd w:id="6"/>
      <w:bookmarkEnd w:id="7"/>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48"/>
        <w:gridCol w:w="6369"/>
      </w:tblGrid>
      <w:tr w14:paraId="483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 w:type="pct"/>
            <w:noWrap w:val="0"/>
            <w:vAlign w:val="center"/>
          </w:tcPr>
          <w:p w14:paraId="662BA334">
            <w:pPr>
              <w:pStyle w:val="7"/>
              <w:pBdr>
                <w:bottom w:val="none" w:color="auto" w:sz="0" w:space="0"/>
              </w:pBdr>
              <w:tabs>
                <w:tab w:val="clear" w:pos="4153"/>
                <w:tab w:val="clear" w:pos="8306"/>
              </w:tabs>
              <w:adjustRightInd/>
              <w:spacing w:line="240" w:lineRule="auto"/>
              <w:textAlignment w:val="auto"/>
              <w:rPr>
                <w:rFonts w:ascii="宋体" w:hAnsi="宋体"/>
                <w:b/>
                <w:color w:val="auto"/>
                <w:kern w:val="2"/>
                <w:sz w:val="21"/>
                <w:szCs w:val="21"/>
                <w:highlight w:val="none"/>
              </w:rPr>
            </w:pPr>
            <w:r>
              <w:rPr>
                <w:rFonts w:hint="eastAsia" w:ascii="宋体" w:hAnsi="宋体"/>
                <w:b/>
                <w:color w:val="auto"/>
                <w:kern w:val="2"/>
                <w:sz w:val="21"/>
                <w:szCs w:val="21"/>
                <w:highlight w:val="none"/>
              </w:rPr>
              <w:t>序号</w:t>
            </w:r>
          </w:p>
        </w:tc>
        <w:tc>
          <w:tcPr>
            <w:tcW w:w="908" w:type="pct"/>
            <w:noWrap w:val="0"/>
            <w:vAlign w:val="center"/>
          </w:tcPr>
          <w:p w14:paraId="4951AEAA">
            <w:pPr>
              <w:pStyle w:val="8"/>
              <w:widowControl w:val="0"/>
              <w:spacing w:before="0" w:beforeAutospacing="0" w:after="0" w:afterAutospacing="0" w:line="360" w:lineRule="auto"/>
              <w:rPr>
                <w:rFonts w:ascii="宋体" w:hAnsi="宋体"/>
                <w:bCs w:val="0"/>
                <w:color w:val="auto"/>
                <w:sz w:val="21"/>
                <w:szCs w:val="21"/>
                <w:highlight w:val="none"/>
              </w:rPr>
            </w:pPr>
            <w:r>
              <w:rPr>
                <w:rFonts w:hint="eastAsia" w:ascii="宋体" w:hAnsi="宋体"/>
                <w:bCs w:val="0"/>
                <w:color w:val="auto"/>
                <w:sz w:val="21"/>
                <w:szCs w:val="21"/>
                <w:highlight w:val="none"/>
              </w:rPr>
              <w:t>条款名称</w:t>
            </w:r>
          </w:p>
        </w:tc>
        <w:tc>
          <w:tcPr>
            <w:tcW w:w="3736" w:type="pct"/>
            <w:noWrap w:val="0"/>
            <w:vAlign w:val="center"/>
          </w:tcPr>
          <w:p w14:paraId="68E5A52C">
            <w:pPr>
              <w:pStyle w:val="8"/>
              <w:widowControl w:val="0"/>
              <w:spacing w:before="0" w:beforeAutospacing="0" w:after="0" w:afterAutospacing="0" w:line="360" w:lineRule="auto"/>
              <w:rPr>
                <w:rFonts w:ascii="宋体" w:hAnsi="宋体"/>
                <w:bCs w:val="0"/>
                <w:color w:val="auto"/>
                <w:sz w:val="21"/>
                <w:szCs w:val="21"/>
                <w:highlight w:val="none"/>
              </w:rPr>
            </w:pPr>
            <w:r>
              <w:rPr>
                <w:rFonts w:hint="eastAsia" w:ascii="宋体" w:hAnsi="宋体"/>
                <w:bCs w:val="0"/>
                <w:color w:val="auto"/>
                <w:sz w:val="21"/>
                <w:szCs w:val="21"/>
                <w:highlight w:val="none"/>
              </w:rPr>
              <w:t>内容、说明与要求</w:t>
            </w:r>
          </w:p>
        </w:tc>
      </w:tr>
      <w:tr w14:paraId="418E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 w:type="pct"/>
            <w:noWrap w:val="0"/>
            <w:vAlign w:val="center"/>
          </w:tcPr>
          <w:p w14:paraId="75077C14">
            <w:pPr>
              <w:pStyle w:val="7"/>
              <w:pBdr>
                <w:bottom w:val="none" w:color="auto" w:sz="0" w:space="0"/>
              </w:pBdr>
              <w:tabs>
                <w:tab w:val="clear" w:pos="4153"/>
                <w:tab w:val="clear" w:pos="8306"/>
              </w:tabs>
              <w:adjustRightInd/>
              <w:spacing w:line="240" w:lineRule="auto"/>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1</w:t>
            </w:r>
          </w:p>
        </w:tc>
        <w:tc>
          <w:tcPr>
            <w:tcW w:w="908" w:type="pct"/>
            <w:noWrap w:val="0"/>
            <w:vAlign w:val="center"/>
          </w:tcPr>
          <w:p w14:paraId="0F311BE5">
            <w:pPr>
              <w:pStyle w:val="8"/>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服务地点</w:t>
            </w:r>
          </w:p>
        </w:tc>
        <w:tc>
          <w:tcPr>
            <w:tcW w:w="3736" w:type="pct"/>
            <w:noWrap w:val="0"/>
            <w:vAlign w:val="center"/>
          </w:tcPr>
          <w:p w14:paraId="78DB6D90">
            <w:pPr>
              <w:pStyle w:val="8"/>
              <w:widowControl w:val="0"/>
              <w:spacing w:before="0" w:beforeAutospacing="0" w:after="0" w:afterAutospacing="0" w:line="360" w:lineRule="auto"/>
              <w:jc w:val="both"/>
              <w:rPr>
                <w:rFonts w:ascii="宋体" w:hAnsi="宋体"/>
                <w:b w:val="0"/>
                <w:color w:val="auto"/>
                <w:sz w:val="21"/>
                <w:szCs w:val="21"/>
                <w:highlight w:val="none"/>
              </w:rPr>
            </w:pPr>
            <w:r>
              <w:rPr>
                <w:rFonts w:hint="eastAsia" w:ascii="宋体" w:hAnsi="宋体"/>
                <w:b w:val="0"/>
                <w:color w:val="auto"/>
                <w:sz w:val="21"/>
                <w:szCs w:val="21"/>
                <w:highlight w:val="none"/>
              </w:rPr>
              <w:t>详见投标供应商须知前附表</w:t>
            </w:r>
          </w:p>
        </w:tc>
      </w:tr>
      <w:tr w14:paraId="07EB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 w:type="pct"/>
            <w:noWrap w:val="0"/>
            <w:vAlign w:val="center"/>
          </w:tcPr>
          <w:p w14:paraId="485B688A">
            <w:pPr>
              <w:pStyle w:val="7"/>
              <w:pBdr>
                <w:bottom w:val="none" w:color="auto" w:sz="0" w:space="0"/>
              </w:pBdr>
              <w:tabs>
                <w:tab w:val="clear" w:pos="4153"/>
                <w:tab w:val="clear" w:pos="8306"/>
              </w:tabs>
              <w:adjustRightInd/>
              <w:spacing w:line="240" w:lineRule="auto"/>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2</w:t>
            </w:r>
          </w:p>
        </w:tc>
        <w:tc>
          <w:tcPr>
            <w:tcW w:w="908" w:type="pct"/>
            <w:noWrap w:val="0"/>
            <w:vAlign w:val="center"/>
          </w:tcPr>
          <w:p w14:paraId="2B521605">
            <w:pPr>
              <w:pStyle w:val="8"/>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服务期限</w:t>
            </w:r>
          </w:p>
        </w:tc>
        <w:tc>
          <w:tcPr>
            <w:tcW w:w="3736" w:type="pct"/>
            <w:noWrap w:val="0"/>
            <w:vAlign w:val="center"/>
          </w:tcPr>
          <w:p w14:paraId="00382E71">
            <w:pPr>
              <w:pStyle w:val="8"/>
              <w:widowControl w:val="0"/>
              <w:spacing w:before="0" w:beforeAutospacing="0" w:after="0" w:afterAutospacing="0" w:line="360" w:lineRule="auto"/>
              <w:jc w:val="both"/>
              <w:rPr>
                <w:rFonts w:ascii="宋体" w:hAnsi="宋体"/>
                <w:b w:val="0"/>
                <w:color w:val="auto"/>
                <w:sz w:val="21"/>
                <w:szCs w:val="21"/>
                <w:highlight w:val="none"/>
              </w:rPr>
            </w:pPr>
            <w:r>
              <w:rPr>
                <w:rFonts w:hint="eastAsia" w:ascii="宋体" w:hAnsi="宋体"/>
                <w:b w:val="0"/>
                <w:color w:val="auto"/>
                <w:sz w:val="21"/>
                <w:szCs w:val="21"/>
                <w:highlight w:val="none"/>
              </w:rPr>
              <w:t>详见投标供应商须知前附表</w:t>
            </w:r>
          </w:p>
        </w:tc>
      </w:tr>
      <w:tr w14:paraId="3DC5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 w:type="pct"/>
            <w:noWrap w:val="0"/>
            <w:vAlign w:val="center"/>
          </w:tcPr>
          <w:p w14:paraId="3D5049C5">
            <w:pPr>
              <w:pStyle w:val="7"/>
              <w:pBdr>
                <w:bottom w:val="none" w:color="auto" w:sz="0" w:space="0"/>
              </w:pBdr>
              <w:tabs>
                <w:tab w:val="clear" w:pos="4153"/>
                <w:tab w:val="clear" w:pos="8306"/>
              </w:tabs>
              <w:adjustRightInd/>
              <w:spacing w:line="240" w:lineRule="auto"/>
              <w:textAlignment w:val="auto"/>
              <w:rPr>
                <w:rFonts w:hint="eastAsia" w:ascii="宋体" w:hAnsi="宋体"/>
                <w:bCs/>
                <w:color w:val="auto"/>
                <w:kern w:val="2"/>
                <w:sz w:val="21"/>
                <w:szCs w:val="21"/>
                <w:highlight w:val="none"/>
              </w:rPr>
            </w:pPr>
            <w:r>
              <w:rPr>
                <w:rFonts w:hint="eastAsia" w:ascii="宋体" w:hAnsi="宋体"/>
                <w:bCs/>
                <w:color w:val="auto"/>
                <w:kern w:val="2"/>
                <w:sz w:val="21"/>
                <w:szCs w:val="21"/>
                <w:highlight w:val="none"/>
              </w:rPr>
              <w:t>3</w:t>
            </w:r>
          </w:p>
        </w:tc>
        <w:tc>
          <w:tcPr>
            <w:tcW w:w="908" w:type="pct"/>
            <w:noWrap w:val="0"/>
            <w:vAlign w:val="center"/>
          </w:tcPr>
          <w:p w14:paraId="4575E83D">
            <w:pPr>
              <w:pStyle w:val="8"/>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付款方式</w:t>
            </w:r>
          </w:p>
        </w:tc>
        <w:tc>
          <w:tcPr>
            <w:tcW w:w="3736" w:type="pct"/>
            <w:noWrap w:val="0"/>
            <w:vAlign w:val="center"/>
          </w:tcPr>
          <w:p w14:paraId="30F5D4C8">
            <w:pPr>
              <w:pStyle w:val="8"/>
              <w:widowControl w:val="0"/>
              <w:spacing w:before="0" w:beforeAutospacing="0" w:after="0" w:afterAutospacing="0" w:line="360" w:lineRule="auto"/>
              <w:jc w:val="both"/>
              <w:rPr>
                <w:rFonts w:hint="eastAsia" w:ascii="宋体" w:hAnsi="宋体"/>
                <w:b w:val="0"/>
                <w:color w:val="auto"/>
                <w:sz w:val="21"/>
                <w:szCs w:val="21"/>
                <w:highlight w:val="none"/>
              </w:rPr>
            </w:pPr>
            <w:r>
              <w:rPr>
                <w:rFonts w:hint="eastAsia" w:ascii="宋体" w:hAnsi="宋体"/>
                <w:b w:val="0"/>
                <w:color w:val="auto"/>
                <w:sz w:val="21"/>
                <w:szCs w:val="21"/>
                <w:highlight w:val="none"/>
              </w:rPr>
              <w:t>详见投标供应商须知前附表</w:t>
            </w:r>
          </w:p>
        </w:tc>
      </w:tr>
      <w:tr w14:paraId="243E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 w:type="pct"/>
            <w:noWrap w:val="0"/>
            <w:vAlign w:val="center"/>
          </w:tcPr>
          <w:p w14:paraId="6736CA54">
            <w:pPr>
              <w:pStyle w:val="7"/>
              <w:pBdr>
                <w:bottom w:val="none" w:color="auto" w:sz="0" w:space="0"/>
              </w:pBdr>
              <w:tabs>
                <w:tab w:val="clear" w:pos="4153"/>
                <w:tab w:val="clear" w:pos="8306"/>
              </w:tabs>
              <w:adjustRightInd/>
              <w:spacing w:line="240" w:lineRule="auto"/>
              <w:textAlignment w:val="auto"/>
              <w:rPr>
                <w:rFonts w:hint="eastAsia" w:ascii="宋体" w:hAnsi="宋体"/>
                <w:bCs/>
                <w:color w:val="auto"/>
                <w:kern w:val="2"/>
                <w:sz w:val="21"/>
                <w:szCs w:val="21"/>
                <w:highlight w:val="none"/>
              </w:rPr>
            </w:pPr>
            <w:r>
              <w:rPr>
                <w:rFonts w:hint="eastAsia" w:ascii="宋体" w:hAnsi="宋体"/>
                <w:bCs/>
                <w:color w:val="auto"/>
                <w:kern w:val="2"/>
                <w:sz w:val="21"/>
                <w:szCs w:val="21"/>
                <w:highlight w:val="none"/>
              </w:rPr>
              <w:t>4</w:t>
            </w:r>
          </w:p>
        </w:tc>
        <w:tc>
          <w:tcPr>
            <w:tcW w:w="908" w:type="pct"/>
            <w:noWrap w:val="0"/>
            <w:vAlign w:val="center"/>
          </w:tcPr>
          <w:p w14:paraId="6FC33EFC">
            <w:pPr>
              <w:pStyle w:val="8"/>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本项目采购标的名称及所属行业</w:t>
            </w:r>
          </w:p>
        </w:tc>
        <w:tc>
          <w:tcPr>
            <w:tcW w:w="3736" w:type="pct"/>
            <w:noWrap w:val="0"/>
            <w:vAlign w:val="center"/>
          </w:tcPr>
          <w:p w14:paraId="0939C12A">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标的名称：中国科学技术大学芯片流片服务 </w:t>
            </w:r>
          </w:p>
          <w:p w14:paraId="2819A27B">
            <w:pPr>
              <w:spacing w:line="360" w:lineRule="auto"/>
              <w:jc w:val="left"/>
              <w:rPr>
                <w:rFonts w:hint="eastAsia" w:ascii="宋体" w:hAnsi="宋体"/>
                <w:color w:val="auto"/>
                <w:szCs w:val="21"/>
                <w:highlight w:val="none"/>
              </w:rPr>
            </w:pPr>
            <w:r>
              <w:rPr>
                <w:rFonts w:hint="eastAsia" w:ascii="宋体" w:hAnsi="宋体"/>
                <w:color w:val="auto"/>
                <w:szCs w:val="21"/>
                <w:highlight w:val="none"/>
              </w:rPr>
              <w:t>所属行业：</w:t>
            </w:r>
            <w:r>
              <w:rPr>
                <w:rFonts w:hint="eastAsia" w:cs="Arial"/>
                <w:b/>
                <w:bCs/>
                <w:color w:val="auto"/>
                <w:szCs w:val="21"/>
                <w:highlight w:val="none"/>
              </w:rPr>
              <w:t>软件和信息技术服务业</w:t>
            </w:r>
          </w:p>
        </w:tc>
      </w:tr>
      <w:bookmarkEnd w:id="8"/>
    </w:tbl>
    <w:p w14:paraId="51F36E74">
      <w:pPr>
        <w:pStyle w:val="3"/>
        <w:spacing w:before="140" w:after="140"/>
        <w:rPr>
          <w:rFonts w:ascii="宋体" w:hAnsi="宋体" w:cs="宋体"/>
          <w:color w:val="auto"/>
          <w:sz w:val="21"/>
          <w:szCs w:val="21"/>
          <w:highlight w:val="none"/>
        </w:rPr>
      </w:pPr>
      <w:r>
        <w:rPr>
          <w:rFonts w:hint="eastAsia" w:ascii="宋体" w:hAnsi="宋体" w:cs="宋体"/>
          <w:color w:val="auto"/>
          <w:sz w:val="21"/>
          <w:szCs w:val="21"/>
          <w:highlight w:val="none"/>
        </w:rPr>
        <w:t>二、技术规格要求</w:t>
      </w:r>
    </w:p>
    <w:p w14:paraId="5394809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1、180 nm工艺流片</w:t>
      </w:r>
    </w:p>
    <w:p w14:paraId="353C6865">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1.1 服务内容及标准：</w:t>
      </w:r>
    </w:p>
    <w:p w14:paraId="3FE0D10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（1）提供CMOS 180nm工艺PDK以及DRC/LVS/RCX技术文件，标准数字单元库和IO库文件等技术资料。</w:t>
      </w:r>
    </w:p>
    <w:p w14:paraId="7CB6E3B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（2）根据采购人要求，提供工程批流片服务。</w:t>
      </w:r>
    </w:p>
    <w:p w14:paraId="33E9B4BD">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（3）接受采购人GDSII文件，进行设计规则复查。</w:t>
      </w:r>
    </w:p>
    <w:p w14:paraId="54325D8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（4）负责版图整合，并提供光掩膜、CMOS 180nm工艺流片服务。</w:t>
      </w:r>
    </w:p>
    <w:p w14:paraId="13EF7FAA">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（5）提供TAPE-OUT过程中的技术支持。</w:t>
      </w:r>
    </w:p>
    <w:p w14:paraId="7C81D4F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1.2 质量要求： </w:t>
      </w:r>
    </w:p>
    <w:p w14:paraId="1366AF2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（1）交付晶圆技术规格</w:t>
      </w:r>
    </w:p>
    <w:p w14:paraId="669F3271">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①加工工艺：具备180 nm标准 CMOS 工艺集成电路加工能力。</w:t>
      </w:r>
    </w:p>
    <w:p w14:paraId="01673BC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②金属层参数：180 nm工艺不少于 6 个后端金属层。</w:t>
      </w:r>
    </w:p>
    <w:p w14:paraId="5113D58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（2）核心工作电压：180 nm 工艺典型值为1.8 V；</w:t>
      </w:r>
    </w:p>
    <w:p w14:paraId="4B12F20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（3）IO工作电压：180 nm 工艺典型值为3.3 V；</w:t>
      </w:r>
    </w:p>
    <w:p w14:paraId="7C199BE2">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（4）提供下述器件的模型并可进行生产：包括但不仅限于thin gate native 1.8V NMOS、1.8V NMOS varactor、pwell/dnwell diode、DNwell/Psub diode及Vertical PNP；</w:t>
      </w:r>
    </w:p>
    <w:p w14:paraId="24E54D6C">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（5）无源参数：可提供高阻硅电阻和MIM 电容。其中，高阻硅方块电阻值不低于1000 </w:t>
      </w:r>
      <w:r>
        <w:rPr>
          <w:rFonts w:hint="default"/>
          <w:b w:val="0"/>
          <w:bCs w:val="0"/>
          <w:color w:val="auto"/>
          <w:kern w:val="0"/>
          <w:sz w:val="21"/>
          <w:szCs w:val="21"/>
          <w:highlight w:val="none"/>
        </w:rPr>
        <w:t>Ω</w:t>
      </w:r>
      <w:r>
        <w:rPr>
          <w:rFonts w:hint="eastAsia"/>
          <w:b w:val="0"/>
          <w:bCs w:val="0"/>
          <w:color w:val="auto"/>
          <w:kern w:val="0"/>
          <w:sz w:val="21"/>
          <w:szCs w:val="21"/>
          <w:highlight w:val="none"/>
        </w:rPr>
        <w:t>、MIM 电容值不低于 1.0 fF/µm2；</w:t>
      </w:r>
    </w:p>
    <w:p w14:paraId="45BB320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（6）掩膜层数：不少于3</w:t>
      </w:r>
      <w:r>
        <w:rPr>
          <w:rFonts w:hint="eastAsia"/>
          <w:color w:val="auto"/>
          <w:kern w:val="0"/>
          <w:szCs w:val="21"/>
          <w:highlight w:val="none"/>
        </w:rPr>
        <w:t>3</w:t>
      </w:r>
      <w:r>
        <w:rPr>
          <w:rFonts w:hint="eastAsia"/>
          <w:b w:val="0"/>
          <w:bCs w:val="0"/>
          <w:color w:val="auto"/>
          <w:kern w:val="0"/>
          <w:sz w:val="21"/>
          <w:szCs w:val="21"/>
          <w:highlight w:val="none"/>
        </w:rPr>
        <w:t>层；</w:t>
      </w:r>
    </w:p>
    <w:p w14:paraId="2A1227CB">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（7）流片面积：工程批最大掩膜面积</w:t>
      </w:r>
      <w:r>
        <w:rPr>
          <w:rFonts w:hint="default" w:ascii="Arial" w:hAnsi="Arial" w:cs="Arial"/>
          <w:b w:val="0"/>
          <w:bCs w:val="0"/>
          <w:color w:val="auto"/>
          <w:kern w:val="0"/>
          <w:sz w:val="21"/>
          <w:szCs w:val="21"/>
          <w:highlight w:val="none"/>
        </w:rPr>
        <w:t>≥</w:t>
      </w:r>
      <w:r>
        <w:rPr>
          <w:rFonts w:hint="eastAsia"/>
          <w:b w:val="0"/>
          <w:bCs w:val="0"/>
          <w:color w:val="auto"/>
          <w:kern w:val="0"/>
          <w:sz w:val="21"/>
          <w:szCs w:val="21"/>
          <w:highlight w:val="none"/>
        </w:rPr>
        <w:t>400平方毫米；</w:t>
      </w:r>
    </w:p>
    <w:p w14:paraId="46DC8A59">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（8）工程批wafer数量：12片；</w:t>
      </w:r>
    </w:p>
    <w:p w14:paraId="7844494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★（9）允许将部分晶圆hold在contact层待生产；</w:t>
      </w:r>
    </w:p>
    <w:p w14:paraId="13C19D21">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★（10）提供晶圆出厂的WAT测试结果；</w:t>
      </w:r>
    </w:p>
    <w:p w14:paraId="6C7845AA">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★（11）可在流片前通过jobview方式对生产的掩膜进行检查；</w:t>
      </w:r>
    </w:p>
    <w:p w14:paraId="0B8C2B1E">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（12）晶圆交付方式：确认下单后200天内邮寄至采购人指定地点；</w:t>
      </w:r>
    </w:p>
    <w:p w14:paraId="082E445D">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★（13）包装方式：将晶圆放置在抽真空的晶舟盒中。</w:t>
      </w:r>
    </w:p>
    <w:p w14:paraId="56EDF768">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2、130 nm工艺流片</w:t>
      </w:r>
    </w:p>
    <w:p w14:paraId="1FC2DE8D">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2.1 服务内容及标准：</w:t>
      </w:r>
    </w:p>
    <w:p w14:paraId="3E1F310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（1）提供CMOS 130nm工艺PDK以及DRC/LVS/RCX技术文件，标准数字单元库和IO库文件等技术资料；</w:t>
      </w:r>
    </w:p>
    <w:p w14:paraId="2957749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（2）根据采购人要求，提供工程批流片服务；</w:t>
      </w:r>
    </w:p>
    <w:p w14:paraId="628B5ED9">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（3）接受采购人GDSII文件，进行设计规则复查；</w:t>
      </w:r>
    </w:p>
    <w:p w14:paraId="7276356A">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（4）负责版图整合，并提供光掩膜、CMOS 130nm工艺流片服务；</w:t>
      </w:r>
    </w:p>
    <w:p w14:paraId="71167B3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（5）提供TAPE-OUT过程中的技术支持。</w:t>
      </w:r>
    </w:p>
    <w:p w14:paraId="65E1B06A">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2.2 质量要求： </w:t>
      </w:r>
    </w:p>
    <w:p w14:paraId="74FBE8DA">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（1）交付晶圆技术规格：</w:t>
      </w:r>
    </w:p>
    <w:p w14:paraId="577026D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①加工工艺：具备130 nm标准 CMOS 工艺集成电路加工能力；</w:t>
      </w:r>
    </w:p>
    <w:p w14:paraId="67C0549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②金属层参数：130 nm工艺不少于 8 个后端金属层；</w:t>
      </w:r>
    </w:p>
    <w:p w14:paraId="67DA9112">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（2）核心工作电压：130 nm 工艺典型值为1.2 V；</w:t>
      </w:r>
    </w:p>
    <w:p w14:paraId="3D48B73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（3）IO工作电压：130 nm 工艺典型值为2.5 V/3.3 V可选择；</w:t>
      </w:r>
    </w:p>
    <w:p w14:paraId="7FDEDA5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（4）无源参数：可提供高阻硅电阻和MIM 电容。其中，高阻硅方块电阻值不低于1000 </w:t>
      </w:r>
      <w:r>
        <w:rPr>
          <w:rFonts w:hint="default"/>
          <w:b w:val="0"/>
          <w:bCs w:val="0"/>
          <w:color w:val="auto"/>
          <w:kern w:val="0"/>
          <w:sz w:val="21"/>
          <w:szCs w:val="21"/>
          <w:highlight w:val="none"/>
        </w:rPr>
        <w:t>Ω</w:t>
      </w:r>
      <w:r>
        <w:rPr>
          <w:rFonts w:hint="eastAsia"/>
          <w:b w:val="0"/>
          <w:bCs w:val="0"/>
          <w:color w:val="auto"/>
          <w:kern w:val="0"/>
          <w:sz w:val="21"/>
          <w:szCs w:val="21"/>
          <w:highlight w:val="none"/>
        </w:rPr>
        <w:t>、MIM 电容值不低于 2.0 fF/µm2；</w:t>
      </w:r>
    </w:p>
    <w:p w14:paraId="3BE4FCB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（5）掩膜层数：不少于42层；</w:t>
      </w:r>
    </w:p>
    <w:p w14:paraId="29DB7A6E">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（6）流片面积：工程批最大掩膜面积</w:t>
      </w:r>
      <w:r>
        <w:rPr>
          <w:rFonts w:hint="default" w:ascii="Arial" w:hAnsi="Arial" w:cs="Arial"/>
          <w:b w:val="0"/>
          <w:bCs w:val="0"/>
          <w:color w:val="auto"/>
          <w:kern w:val="0"/>
          <w:sz w:val="21"/>
          <w:szCs w:val="21"/>
          <w:highlight w:val="none"/>
        </w:rPr>
        <w:t>≥</w:t>
      </w:r>
      <w:r>
        <w:rPr>
          <w:rFonts w:hint="eastAsia"/>
          <w:b w:val="0"/>
          <w:bCs w:val="0"/>
          <w:color w:val="auto"/>
          <w:kern w:val="0"/>
          <w:sz w:val="21"/>
          <w:szCs w:val="21"/>
          <w:highlight w:val="none"/>
        </w:rPr>
        <w:t>750 mm</w:t>
      </w:r>
      <w:r>
        <w:rPr>
          <w:rFonts w:hint="eastAsia"/>
          <w:b w:val="0"/>
          <w:bCs w:val="0"/>
          <w:color w:val="auto"/>
          <w:kern w:val="0"/>
          <w:sz w:val="21"/>
          <w:szCs w:val="21"/>
          <w:highlight w:val="none"/>
          <w:vertAlign w:val="superscript"/>
        </w:rPr>
        <w:t>2</w:t>
      </w:r>
      <w:r>
        <w:rPr>
          <w:rFonts w:hint="eastAsia"/>
          <w:b w:val="0"/>
          <w:bCs w:val="0"/>
          <w:color w:val="auto"/>
          <w:kern w:val="0"/>
          <w:sz w:val="21"/>
          <w:szCs w:val="21"/>
          <w:highlight w:val="none"/>
        </w:rPr>
        <w:t>；</w:t>
      </w:r>
    </w:p>
    <w:p w14:paraId="1E4B89E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（7）工程批wafer数量：12片；MPW芯片晶圆数量：50片；</w:t>
      </w:r>
    </w:p>
    <w:p w14:paraId="619D74CE">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★（8）允许将部分晶圆hold在contact层待生产；</w:t>
      </w:r>
    </w:p>
    <w:p w14:paraId="50F96D1B">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★（9）提供晶圆出厂的WAT测试结果；</w:t>
      </w:r>
    </w:p>
    <w:p w14:paraId="7F170C8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★（10）可在流片前通过jobview方式对生产的掩膜进行检查；</w:t>
      </w:r>
    </w:p>
    <w:p w14:paraId="18122F49">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（11）晶圆交付方式：确认下单后200天内邮寄至采购人指定地点；</w:t>
      </w:r>
    </w:p>
    <w:p w14:paraId="3D86F482">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★（12）包装方式：将晶圆放置在抽真空的晶舟盒中。</w:t>
      </w:r>
    </w:p>
    <w:p w14:paraId="73833B5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3、55 nm工艺流片</w:t>
      </w:r>
    </w:p>
    <w:p w14:paraId="31666BA8">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3.1 服务内容及标准：</w:t>
      </w:r>
    </w:p>
    <w:p w14:paraId="1D2A5341">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（1）提供CMOS 55nm工艺PDK以及DRC/LVS/RCX技术文件，标准数字单元库和IO库文件等技术资料；</w:t>
      </w:r>
    </w:p>
    <w:p w14:paraId="24508BAD">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（2）根据采购人要求，提供工程批流片服务；</w:t>
      </w:r>
    </w:p>
    <w:p w14:paraId="06A2C14F">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（3）接受采购人GDSII文件，进行设计规则复查；</w:t>
      </w:r>
    </w:p>
    <w:p w14:paraId="2228395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（4）负责版图整合，并提供光掩膜、CMOS 55nm工艺流片服务；</w:t>
      </w:r>
    </w:p>
    <w:p w14:paraId="4022858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（5）提供TAPE-OUT过程中的技术支持。</w:t>
      </w:r>
    </w:p>
    <w:p w14:paraId="11E44CE2">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3.2 质量要求： </w:t>
      </w:r>
    </w:p>
    <w:p w14:paraId="7AE345F4">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（1）交付晶圆技术规格</w:t>
      </w:r>
    </w:p>
    <w:p w14:paraId="36A7246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①加工工艺：具备55 nm标准 CMOS 工艺集成电路加工能力；</w:t>
      </w:r>
    </w:p>
    <w:p w14:paraId="55AB18D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②金属层参数：55 nm工艺不少于6个后端金属层；</w:t>
      </w:r>
    </w:p>
    <w:p w14:paraId="286023E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（2）核心工作电压：55 nm 工艺典型值为1.2 V；</w:t>
      </w:r>
    </w:p>
    <w:p w14:paraId="4CA7F76E">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（3）IO工作电压：55 nm 工艺典型值为1.8 V/2.5 V可选择；</w:t>
      </w:r>
    </w:p>
    <w:p w14:paraId="00EE30D0">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 xml:space="preserve">（4）无源参数：可提供高阻硅电阻和MIM 电容。其中，高阻硅方块电阻值不低于600 </w:t>
      </w:r>
      <w:r>
        <w:rPr>
          <w:rFonts w:hint="default"/>
          <w:b w:val="0"/>
          <w:bCs w:val="0"/>
          <w:color w:val="auto"/>
          <w:kern w:val="0"/>
          <w:sz w:val="21"/>
          <w:szCs w:val="21"/>
          <w:highlight w:val="none"/>
        </w:rPr>
        <w:t>Ω</w:t>
      </w:r>
      <w:r>
        <w:rPr>
          <w:rFonts w:hint="eastAsia"/>
          <w:b w:val="0"/>
          <w:bCs w:val="0"/>
          <w:color w:val="auto"/>
          <w:kern w:val="0"/>
          <w:sz w:val="21"/>
          <w:szCs w:val="21"/>
          <w:highlight w:val="none"/>
        </w:rPr>
        <w:t>、MOM 电容值不低于 2 fF/µm2；</w:t>
      </w:r>
    </w:p>
    <w:p w14:paraId="64F2E9FB">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（5）MPW芯片晶圆数量：50片；</w:t>
      </w:r>
    </w:p>
    <w:p w14:paraId="29BE43A3">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★（6）允许将部分晶圆hold在contact层待生产；</w:t>
      </w:r>
    </w:p>
    <w:p w14:paraId="17DA6906">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★（7）提供晶圆出厂的WAT测试结果；</w:t>
      </w:r>
    </w:p>
    <w:p w14:paraId="213A34A7">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★（8）可在流片前通过jobview方式对生产的掩膜进行检查；</w:t>
      </w:r>
    </w:p>
    <w:p w14:paraId="6159FA92">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（9）晶圆交付方式：确认下单后200天内邮寄至采购人指定地点；</w:t>
      </w:r>
    </w:p>
    <w:p w14:paraId="2667F464">
      <w:pPr>
        <w:widowControl/>
        <w:spacing w:line="360" w:lineRule="auto"/>
        <w:rPr>
          <w:rFonts w:hint="eastAsia"/>
          <w:b w:val="0"/>
          <w:bCs w:val="0"/>
          <w:color w:val="auto"/>
          <w:kern w:val="0"/>
          <w:sz w:val="21"/>
          <w:szCs w:val="21"/>
          <w:highlight w:val="none"/>
        </w:rPr>
      </w:pPr>
      <w:r>
        <w:rPr>
          <w:rFonts w:hint="eastAsia"/>
          <w:b w:val="0"/>
          <w:bCs w:val="0"/>
          <w:color w:val="auto"/>
          <w:kern w:val="0"/>
          <w:sz w:val="21"/>
          <w:szCs w:val="21"/>
          <w:highlight w:val="none"/>
        </w:rPr>
        <w:t>★（10）包装方式：将晶圆放置在抽真空的晶舟盒中。</w:t>
      </w:r>
    </w:p>
    <w:p w14:paraId="6F976262">
      <w:pPr>
        <w:widowControl/>
        <w:spacing w:line="360" w:lineRule="auto"/>
        <w:rPr>
          <w:rFonts w:hint="eastAsia" w:eastAsia="宋体"/>
          <w:b/>
          <w:bCs/>
          <w:color w:val="auto"/>
          <w:kern w:val="0"/>
          <w:szCs w:val="21"/>
          <w:highlight w:val="none"/>
          <w:lang w:eastAsia="zh-CN"/>
        </w:rPr>
      </w:pPr>
      <w:r>
        <w:rPr>
          <w:rFonts w:hint="eastAsia"/>
          <w:b/>
          <w:bCs/>
          <w:color w:val="auto"/>
          <w:kern w:val="0"/>
          <w:sz w:val="21"/>
          <w:szCs w:val="21"/>
          <w:highlight w:val="none"/>
        </w:rPr>
        <w:t>注：技术规格要求中</w:t>
      </w:r>
      <w:r>
        <w:rPr>
          <w:rFonts w:hint="eastAsia"/>
          <w:b/>
          <w:bCs/>
          <w:color w:val="auto"/>
          <w:kern w:val="0"/>
          <w:sz w:val="21"/>
          <w:szCs w:val="21"/>
          <w:highlight w:val="none"/>
          <w:lang w:val="en-US" w:eastAsia="zh-CN"/>
        </w:rPr>
        <w:t>无标识条款</w:t>
      </w:r>
      <w:r>
        <w:rPr>
          <w:rFonts w:hint="eastAsia"/>
          <w:b/>
          <w:bCs/>
          <w:color w:val="auto"/>
          <w:kern w:val="0"/>
          <w:sz w:val="21"/>
          <w:szCs w:val="21"/>
          <w:highlight w:val="none"/>
        </w:rPr>
        <w:t>技术要求为实质性要求，不接受负偏离，如有负偏离视为无效投标，标记“★”技术要求根据评分办法中相关要求进行评审</w:t>
      </w:r>
      <w:r>
        <w:rPr>
          <w:rFonts w:hint="eastAsia"/>
          <w:b/>
          <w:bCs/>
          <w:color w:val="auto"/>
          <w:kern w:val="0"/>
          <w:sz w:val="21"/>
          <w:szCs w:val="21"/>
          <w:highlight w:val="none"/>
          <w:lang w:eastAsia="zh-CN"/>
        </w:rPr>
        <w:t>。</w:t>
      </w:r>
    </w:p>
    <w:p w14:paraId="7651E7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174FA"/>
    <w:rsid w:val="6ED1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D&amp;L"/>
    <w:basedOn w:val="4"/>
    <w:uiPriority w:val="99"/>
    <w:pPr>
      <w:pBdr>
        <w:bottom w:val="thinThickSmallGap" w:color="auto" w:sz="18" w:space="1"/>
      </w:pBdr>
      <w:adjustRightInd w:val="0"/>
      <w:snapToGrid/>
      <w:spacing w:line="240" w:lineRule="atLeast"/>
      <w:textAlignment w:val="baseline"/>
    </w:pPr>
    <w:rPr>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2025-06-18T03:17:00Z</dcterms:created>
  <dc:creator>Administrator</dc:creator>
  <cp:lastModifiedBy>Administrator</cp:lastModifiedBy>
  <dcterms:modified xsi:type="dcterms:W3CDTF">2025-06-18T03:17:43Z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4C3E0F80AB964A5AB689F89217BAE409_11</vt:lpwstr>
  </property>
  <property fmtid="{D5CDD505-2E9C-101B-9397-08002B2CF9AE}" pid="4" name="KSOTemplateDocerSaveRecord">
    <vt:lpwstr>eyJoZGlkIjoiODExNWRiOGMwMGJjNGM2NmQwOGQwOGJmMTI5MGE0ZTIiLCJ1c2VySWQiOiI3OTY5NzA1ODIifQ==</vt:lpwstr>
  </property>
</Properties>
</file>