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23"/>
        <w:gridCol w:w="1284"/>
        <w:gridCol w:w="6200"/>
      </w:tblGrid>
      <w:tr w14:paraId="3CAFF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14:paraId="6BB165A5">
            <w:pPr>
              <w:pStyle w:val="4"/>
            </w:pPr>
            <w:r>
              <w:rPr>
                <w:rFonts w:ascii="仿宋_GB2312" w:hAnsi="仿宋_GB2312" w:eastAsia="仿宋_GB2312" w:cs="仿宋_GB2312"/>
              </w:rPr>
              <w:t xml:space="preserve"> 序号</w:t>
            </w:r>
          </w:p>
        </w:tc>
        <w:tc>
          <w:tcPr>
            <w:tcW w:w="1284" w:type="dxa"/>
          </w:tcPr>
          <w:p w14:paraId="4F4B3A3E">
            <w:pPr>
              <w:pStyle w:val="4"/>
            </w:pPr>
            <w:r>
              <w:rPr>
                <w:rFonts w:ascii="仿宋_GB2312" w:hAnsi="仿宋_GB2312" w:eastAsia="仿宋_GB2312" w:cs="仿宋_GB2312"/>
              </w:rPr>
              <w:t xml:space="preserve"> 参数性质</w:t>
            </w:r>
          </w:p>
        </w:tc>
        <w:tc>
          <w:tcPr>
            <w:tcW w:w="6200" w:type="dxa"/>
          </w:tcPr>
          <w:p w14:paraId="194EE39E">
            <w:pPr>
              <w:pStyle w:val="4"/>
            </w:pPr>
            <w:r>
              <w:rPr>
                <w:rFonts w:ascii="仿宋_GB2312" w:hAnsi="仿宋_GB2312" w:eastAsia="仿宋_GB2312" w:cs="仿宋_GB2312"/>
              </w:rPr>
              <w:t xml:space="preserve"> 技术参数与性能指标</w:t>
            </w:r>
          </w:p>
        </w:tc>
      </w:tr>
      <w:tr w14:paraId="4B6D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14:paraId="635604E0">
            <w:pPr>
              <w:pStyle w:val="4"/>
            </w:pPr>
            <w:r>
              <w:rPr>
                <w:rFonts w:ascii="仿宋_GB2312" w:hAnsi="仿宋_GB2312" w:eastAsia="仿宋_GB2312" w:cs="仿宋_GB2312"/>
              </w:rPr>
              <w:t>1</w:t>
            </w:r>
          </w:p>
        </w:tc>
        <w:tc>
          <w:tcPr>
            <w:tcW w:w="1284" w:type="dxa"/>
          </w:tcPr>
          <w:p w14:paraId="7196FF0A"/>
        </w:tc>
        <w:tc>
          <w:tcPr>
            <w:tcW w:w="6200" w:type="dxa"/>
          </w:tcPr>
          <w:p w14:paraId="68C193E7">
            <w:pPr>
              <w:pStyle w:val="4"/>
              <w:jc w:val="both"/>
            </w:pPr>
            <w:r>
              <w:rPr>
                <w:rFonts w:ascii="仿宋_GB2312" w:hAnsi="仿宋_GB2312" w:eastAsia="仿宋_GB2312" w:cs="仿宋_GB2312"/>
                <w:sz w:val="22"/>
              </w:rPr>
              <w:t>一、采购清单及技术标准、配置要求</w:t>
            </w:r>
          </w:p>
          <w:p w14:paraId="5157257C">
            <w:pPr>
              <w:pStyle w:val="4"/>
              <w:jc w:val="both"/>
            </w:pPr>
            <w:r>
              <w:rPr>
                <w:rFonts w:ascii="仿宋_GB2312" w:hAnsi="仿宋_GB2312" w:eastAsia="仿宋_GB2312" w:cs="仿宋_GB2312"/>
                <w:sz w:val="22"/>
              </w:rPr>
              <w:t>1、双光子灰度光刻系统（1台）</w:t>
            </w:r>
          </w:p>
          <w:p w14:paraId="5ADAAB7C">
            <w:pPr>
              <w:pStyle w:val="4"/>
              <w:jc w:val="both"/>
            </w:pPr>
            <w:r>
              <w:rPr>
                <w:rFonts w:ascii="仿宋_GB2312" w:hAnsi="仿宋_GB2312" w:eastAsia="仿宋_GB2312" w:cs="仿宋_GB2312"/>
                <w:sz w:val="22"/>
              </w:rPr>
              <w:t>（一）技</w:t>
            </w:r>
            <w:bookmarkStart w:id="0" w:name="_GoBack"/>
            <w:bookmarkEnd w:id="0"/>
            <w:r>
              <w:rPr>
                <w:rFonts w:ascii="仿宋_GB2312" w:hAnsi="仿宋_GB2312" w:eastAsia="仿宋_GB2312" w:cs="仿宋_GB2312"/>
                <w:sz w:val="22"/>
              </w:rPr>
              <w:t>术标准</w:t>
            </w:r>
          </w:p>
          <w:p w14:paraId="7BA9FBEB">
            <w:pPr>
              <w:pStyle w:val="4"/>
              <w:jc w:val="both"/>
            </w:pPr>
            <w:r>
              <w:rPr>
                <w:rFonts w:ascii="仿宋_GB2312" w:hAnsi="仿宋_GB2312" w:eastAsia="仿宋_GB2312" w:cs="仿宋_GB2312"/>
                <w:sz w:val="22"/>
              </w:rPr>
              <w:t>1. 基于双光子工艺基础的双光子加工系统，可以应用于真正三维立体亚微米器件制作。</w:t>
            </w:r>
          </w:p>
          <w:p w14:paraId="2D78AD4C">
            <w:pPr>
              <w:pStyle w:val="4"/>
              <w:jc w:val="both"/>
            </w:pPr>
            <w:r>
              <w:rPr>
                <w:rFonts w:ascii="仿宋_GB2312" w:hAnsi="仿宋_GB2312" w:eastAsia="仿宋_GB2312" w:cs="仿宋_GB2312"/>
                <w:sz w:val="22"/>
              </w:rPr>
              <w:t>2. ★设备加工的微光学器件，如微透镜，表面Ra≤10nm（需提供证明材料）。</w:t>
            </w:r>
          </w:p>
          <w:p w14:paraId="401095B6">
            <w:pPr>
              <w:pStyle w:val="4"/>
              <w:jc w:val="both"/>
            </w:pPr>
            <w:r>
              <w:rPr>
                <w:rFonts w:ascii="仿宋_GB2312" w:hAnsi="仿宋_GB2312" w:eastAsia="仿宋_GB2312" w:cs="仿宋_GB2312"/>
                <w:sz w:val="22"/>
              </w:rPr>
              <w:t>3. ▲能够加工超高精度光学超构表面，能够成功实现将光的轨道角动量维度用作全息信息载体的功能（应具备相关微纳加工能力，提供证明材料）。</w:t>
            </w:r>
          </w:p>
          <w:p w14:paraId="589FD341">
            <w:pPr>
              <w:pStyle w:val="4"/>
              <w:jc w:val="both"/>
            </w:pPr>
            <w:r>
              <w:rPr>
                <w:rFonts w:ascii="仿宋_GB2312" w:hAnsi="仿宋_GB2312" w:eastAsia="仿宋_GB2312" w:cs="仿宋_GB2312"/>
                <w:sz w:val="22"/>
              </w:rPr>
              <w:t>4. ▲加工样品的最大高度≥20mm。</w:t>
            </w:r>
          </w:p>
          <w:p w14:paraId="15D5F608">
            <w:pPr>
              <w:pStyle w:val="4"/>
              <w:jc w:val="both"/>
            </w:pPr>
            <w:r>
              <w:rPr>
                <w:rFonts w:ascii="仿宋_GB2312" w:hAnsi="仿宋_GB2312" w:eastAsia="仿宋_GB2312" w:cs="仿宋_GB2312"/>
                <w:sz w:val="22"/>
              </w:rPr>
              <w:t>5. ▲具备原生的灰度曝光技术，工业级体素均匀性加工自动控制，可以实时通过对激光的调制以动态改变加工体素的大小。</w:t>
            </w:r>
          </w:p>
          <w:p w14:paraId="0D6F4F82">
            <w:pPr>
              <w:pStyle w:val="4"/>
              <w:jc w:val="both"/>
            </w:pPr>
            <w:r>
              <w:rPr>
                <w:rFonts w:ascii="仿宋_GB2312" w:hAnsi="仿宋_GB2312" w:eastAsia="仿宋_GB2312" w:cs="仿宋_GB2312"/>
                <w:sz w:val="22"/>
              </w:rPr>
              <w:t>6. 加工的三维微光学器件的形状精度（Sa）≥200nm。</w:t>
            </w:r>
          </w:p>
          <w:p w14:paraId="53D10B3D">
            <w:pPr>
              <w:pStyle w:val="4"/>
              <w:jc w:val="both"/>
            </w:pPr>
            <w:r>
              <w:rPr>
                <w:rFonts w:ascii="仿宋_GB2312" w:hAnsi="仿宋_GB2312" w:eastAsia="仿宋_GB2312" w:cs="仿宋_GB2312"/>
                <w:sz w:val="22"/>
              </w:rPr>
              <w:t>7. 能够加工复振幅光学超构表面，能够实现任意空间焦散的功能（需提供证明材料）。</w:t>
            </w:r>
          </w:p>
          <w:p w14:paraId="5E882ED0">
            <w:pPr>
              <w:pStyle w:val="4"/>
              <w:jc w:val="both"/>
            </w:pPr>
            <w:r>
              <w:rPr>
                <w:rFonts w:ascii="仿宋_GB2312" w:hAnsi="仿宋_GB2312" w:eastAsia="仿宋_GB2312" w:cs="仿宋_GB2312"/>
                <w:sz w:val="22"/>
              </w:rPr>
              <w:t>8. ★具有宽广的光敏材料的选择自由度，包含：SU-8，Ormocere，PEG-DA，AZ 9260，IP-L 780，IP-G 780，IP-PDMS等或适配高杨氏模量专用光刻胶，需提供支持多种光敏材料加工，包括但不限于常见光刻胶类型，提供丙烯酸酯类光刻胶50mL， PDMS类、熔融石英类、水凝胶类光刻胶材料各10 mL。</w:t>
            </w:r>
          </w:p>
          <w:p w14:paraId="5487AABE">
            <w:pPr>
              <w:pStyle w:val="4"/>
              <w:jc w:val="both"/>
            </w:pPr>
            <w:r>
              <w:rPr>
                <w:rFonts w:ascii="仿宋_GB2312" w:hAnsi="仿宋_GB2312" w:eastAsia="仿宋_GB2312" w:cs="仿宋_GB2312"/>
                <w:sz w:val="22"/>
              </w:rPr>
              <w:t>9. ▲具备三维形状迭代功能，加工后的测量值与设计值相比，在X-Y-Z方向上的偏差≤1%。</w:t>
            </w:r>
          </w:p>
          <w:p w14:paraId="294EE267">
            <w:pPr>
              <w:pStyle w:val="4"/>
              <w:jc w:val="both"/>
            </w:pPr>
            <w:r>
              <w:rPr>
                <w:rFonts w:ascii="仿宋_GB2312" w:hAnsi="仿宋_GB2312" w:eastAsia="仿宋_GB2312" w:cs="仿宋_GB2312"/>
                <w:sz w:val="22"/>
              </w:rPr>
              <w:t>10. 能够全自动检测光刻胶和样品衬底的界面，检测精度≤30nm。该界面检测能力适用于玻璃、硅片等各种透明的、不透明的样品衬底。</w:t>
            </w:r>
          </w:p>
          <w:p w14:paraId="18DF8D9F">
            <w:pPr>
              <w:pStyle w:val="4"/>
              <w:jc w:val="both"/>
            </w:pPr>
            <w:r>
              <w:rPr>
                <w:rFonts w:ascii="仿宋_GB2312" w:hAnsi="仿宋_GB2312" w:eastAsia="仿宋_GB2312" w:cs="仿宋_GB2312"/>
                <w:sz w:val="22"/>
              </w:rPr>
              <w:t>11. 具备浸入式加工光刻技术，加工材料能够与加工物镜镜头直接接触，无需其他浸润油介质，且最大高度≥20mm。</w:t>
            </w:r>
          </w:p>
          <w:p w14:paraId="06E48601">
            <w:pPr>
              <w:pStyle w:val="4"/>
              <w:jc w:val="both"/>
            </w:pPr>
            <w:r>
              <w:rPr>
                <w:rFonts w:ascii="仿宋_GB2312" w:hAnsi="仿宋_GB2312" w:eastAsia="仿宋_GB2312" w:cs="仿宋_GB2312"/>
                <w:sz w:val="22"/>
              </w:rPr>
              <w:t>12. ▲具备基于机器视觉技术的自动基底界面跟踪、自动基底调平功能。（需提供证明材料）。</w:t>
            </w:r>
          </w:p>
          <w:p w14:paraId="3F51F972">
            <w:pPr>
              <w:pStyle w:val="4"/>
              <w:jc w:val="both"/>
            </w:pPr>
            <w:r>
              <w:rPr>
                <w:rFonts w:ascii="仿宋_GB2312" w:hAnsi="仿宋_GB2312" w:eastAsia="仿宋_GB2312" w:cs="仿宋_GB2312"/>
                <w:sz w:val="22"/>
              </w:rPr>
              <w:t>13. 包含飞秒光纤激光器，平均激光功率≥250mW，重复频率：80MHz ±1MHz。</w:t>
            </w:r>
          </w:p>
          <w:p w14:paraId="6CFC7FC6">
            <w:pPr>
              <w:pStyle w:val="4"/>
              <w:jc w:val="both"/>
            </w:pPr>
            <w:r>
              <w:rPr>
                <w:rFonts w:ascii="仿宋_GB2312" w:hAnsi="仿宋_GB2312" w:eastAsia="仿宋_GB2312" w:cs="仿宋_GB2312"/>
                <w:sz w:val="22"/>
              </w:rPr>
              <w:t>14. 该设备包含振镜扫描系统：具备超高精度的振镜扫描系统，单个有效写场最大直径≥1700μm，最高扫描速度≥600mm/s。</w:t>
            </w:r>
          </w:p>
          <w:p w14:paraId="3673F5C0">
            <w:pPr>
              <w:pStyle w:val="4"/>
              <w:jc w:val="both"/>
            </w:pPr>
            <w:r>
              <w:rPr>
                <w:rFonts w:ascii="仿宋_GB2312" w:hAnsi="仿宋_GB2312" w:eastAsia="仿宋_GB2312" w:cs="仿宋_GB2312"/>
                <w:sz w:val="22"/>
              </w:rPr>
              <w:t>15. 系统最大加工范围≥50×50×20 mm</w:t>
            </w:r>
            <w:r>
              <w:rPr>
                <w:rFonts w:ascii="仿宋_GB2312" w:hAnsi="仿宋_GB2312" w:eastAsia="仿宋_GB2312" w:cs="仿宋_GB2312"/>
                <w:sz w:val="22"/>
                <w:vertAlign w:val="superscript"/>
              </w:rPr>
              <w:t>3</w:t>
            </w:r>
            <w:r>
              <w:rPr>
                <w:rFonts w:ascii="仿宋_GB2312" w:hAnsi="仿宋_GB2312" w:eastAsia="仿宋_GB2312" w:cs="仿宋_GB2312"/>
                <w:sz w:val="22"/>
              </w:rPr>
              <w:t>，在使用高倍率高数值孔径打印头时，此行程范围内的邻近写场拼接精度≥500nm。</w:t>
            </w:r>
          </w:p>
          <w:p w14:paraId="10B49DD1">
            <w:pPr>
              <w:pStyle w:val="4"/>
              <w:jc w:val="both"/>
            </w:pPr>
            <w:r>
              <w:rPr>
                <w:rFonts w:ascii="仿宋_GB2312" w:hAnsi="仿宋_GB2312" w:eastAsia="仿宋_GB2312" w:cs="仿宋_GB2312"/>
                <w:sz w:val="22"/>
              </w:rPr>
              <w:t>16. 需集成至少三个可视化模组，以对样品进行精确定位以及对曝光过程进行实时监控，其中反映加工过程的实时监控相机的像素 ≥ 500万像素。</w:t>
            </w:r>
          </w:p>
          <w:p w14:paraId="3B869E6C">
            <w:pPr>
              <w:pStyle w:val="4"/>
              <w:jc w:val="both"/>
            </w:pPr>
            <w:r>
              <w:rPr>
                <w:rFonts w:ascii="仿宋_GB2312" w:hAnsi="仿宋_GB2312" w:eastAsia="仿宋_GB2312" w:cs="仿宋_GB2312"/>
                <w:sz w:val="22"/>
              </w:rPr>
              <w:t>17. 系统能够通过集成的触摸屏面板进行简单直观的操作，系统需要能够支持打印任务的堆栈功能以实现7天不间断自主打印。</w:t>
            </w:r>
          </w:p>
          <w:p w14:paraId="7C27630C">
            <w:pPr>
              <w:pStyle w:val="4"/>
              <w:jc w:val="both"/>
            </w:pPr>
            <w:r>
              <w:rPr>
                <w:rFonts w:ascii="仿宋_GB2312" w:hAnsi="仿宋_GB2312" w:eastAsia="仿宋_GB2312" w:cs="仿宋_GB2312"/>
                <w:sz w:val="22"/>
              </w:rPr>
              <w:t>18. 该系统需集成底座以及气动减震系统，以实现高度的机械稳定性和热稳定性，减震系统气压≥6bar。</w:t>
            </w:r>
          </w:p>
          <w:p w14:paraId="333CDF80">
            <w:pPr>
              <w:pStyle w:val="4"/>
              <w:jc w:val="both"/>
            </w:pPr>
            <w:r>
              <w:rPr>
                <w:rFonts w:ascii="仿宋_GB2312" w:hAnsi="仿宋_GB2312" w:eastAsia="仿宋_GB2312" w:cs="仿宋_GB2312"/>
                <w:sz w:val="22"/>
              </w:rPr>
              <w:t>19. ▲系统能达到的横向最小线宽需≤200 nm；需由≥5层横竖交错的木堆结构构成，结构垂直方向最佳分辨率应≤1000 nm；需由≥5层横竖交错的木堆结构构成。（需提供证明材料）。</w:t>
            </w:r>
          </w:p>
          <w:p w14:paraId="5688B00F">
            <w:pPr>
              <w:pStyle w:val="4"/>
              <w:jc w:val="both"/>
            </w:pPr>
            <w:r>
              <w:rPr>
                <w:rFonts w:ascii="仿宋_GB2312" w:hAnsi="仿宋_GB2312" w:eastAsia="仿宋_GB2312" w:cs="仿宋_GB2312"/>
                <w:sz w:val="22"/>
              </w:rPr>
              <w:t>20.能够克服聚焦光斑在沿Z轴方向的不稳定性；支持壳层快速打印，同时保持结构的外轮廓形状。在显影过后，能够通过紫外曝光的方式将壳层内尚未固化的材料部分进行一次固化。</w:t>
            </w:r>
          </w:p>
          <w:p w14:paraId="68525310">
            <w:pPr>
              <w:pStyle w:val="4"/>
              <w:jc w:val="both"/>
            </w:pPr>
            <w:r>
              <w:rPr>
                <w:rFonts w:ascii="仿宋_GB2312" w:hAnsi="仿宋_GB2312" w:eastAsia="仿宋_GB2312" w:cs="仿宋_GB2312"/>
                <w:sz w:val="22"/>
              </w:rPr>
              <w:t>21. 具备倾斜拼接技术功能。</w:t>
            </w:r>
          </w:p>
          <w:p w14:paraId="77C33561">
            <w:pPr>
              <w:pStyle w:val="4"/>
              <w:jc w:val="both"/>
            </w:pPr>
            <w:r>
              <w:rPr>
                <w:rFonts w:ascii="仿宋_GB2312" w:hAnsi="仿宋_GB2312" w:eastAsia="仿宋_GB2312" w:cs="仿宋_GB2312"/>
                <w:b/>
                <w:sz w:val="22"/>
              </w:rPr>
              <w:t>★</w:t>
            </w:r>
            <w:r>
              <w:rPr>
                <w:rFonts w:ascii="仿宋_GB2312" w:hAnsi="仿宋_GB2312" w:eastAsia="仿宋_GB2312" w:cs="仿宋_GB2312"/>
                <w:sz w:val="22"/>
              </w:rPr>
              <w:t>22.能够加工的微螺旋结构的螺旋直径1～10 µm，螺旋单周期长度5～10 µm.(需提供证明材料）</w:t>
            </w:r>
          </w:p>
          <w:p w14:paraId="2B39FD4D">
            <w:pPr>
              <w:pStyle w:val="4"/>
              <w:jc w:val="both"/>
            </w:pPr>
            <w:r>
              <w:rPr>
                <w:rFonts w:ascii="仿宋_GB2312" w:hAnsi="仿宋_GB2312" w:eastAsia="仿宋_GB2312" w:cs="仿宋_GB2312"/>
                <w:sz w:val="22"/>
              </w:rPr>
              <w:t>▲23.具备光纤端面加工微透镜和微腔的能力。（需提供证明材料）</w:t>
            </w:r>
          </w:p>
          <w:p w14:paraId="4EA09B36">
            <w:pPr>
              <w:pStyle w:val="4"/>
              <w:jc w:val="both"/>
            </w:pPr>
            <w:r>
              <w:rPr>
                <w:rFonts w:ascii="仿宋_GB2312" w:hAnsi="仿宋_GB2312" w:eastAsia="仿宋_GB2312" w:cs="仿宋_GB2312"/>
                <w:sz w:val="22"/>
              </w:rPr>
              <w:t>24.能够加工太阳能光伏发电需要高效的陷光器件。</w:t>
            </w:r>
          </w:p>
          <w:p w14:paraId="73B93EA5">
            <w:pPr>
              <w:pStyle w:val="4"/>
              <w:jc w:val="both"/>
            </w:pPr>
            <w:r>
              <w:rPr>
                <w:rFonts w:ascii="仿宋_GB2312" w:hAnsi="仿宋_GB2312" w:eastAsia="仿宋_GB2312" w:cs="仿宋_GB2312"/>
                <w:sz w:val="22"/>
              </w:rPr>
              <w:t>25. 设备至少包括加工模组4套包含：以60x，NA 1.4油浸式物镜为核心组件的超高精度加工模组；以25x，NA 0.8油浸式物镜为核心组件的中等精度加工模组；以10x，NA 0.3油浸式物镜为核心组件的介观尺度加工模组；以5x，NA 0.16空气物镜为核心组件的超大尺度加工模组。</w:t>
            </w:r>
          </w:p>
          <w:p w14:paraId="16D08B5F">
            <w:pPr>
              <w:pStyle w:val="4"/>
              <w:jc w:val="both"/>
            </w:pPr>
            <w:r>
              <w:rPr>
                <w:rFonts w:ascii="仿宋_GB2312" w:hAnsi="仿宋_GB2312" w:eastAsia="仿宋_GB2312" w:cs="仿宋_GB2312"/>
                <w:sz w:val="22"/>
              </w:rPr>
              <w:t>26.系统软件包括：硬件控制软件、远程操控软件、二维结构灰度模型处理软件、三维结构模型处理软件等。</w:t>
            </w:r>
          </w:p>
          <w:p w14:paraId="49BB299D">
            <w:pPr>
              <w:pStyle w:val="4"/>
              <w:jc w:val="both"/>
            </w:pPr>
            <w:r>
              <w:rPr>
                <w:rFonts w:ascii="仿宋_GB2312" w:hAnsi="仿宋_GB2312" w:eastAsia="仿宋_GB2312" w:cs="仿宋_GB2312"/>
                <w:sz w:val="22"/>
              </w:rPr>
              <w:t>27.系统主要包括：飞秒激光器光源、振镜扫描系统、机械运动台、除显微镜物镜外的基础光学系统等。</w:t>
            </w:r>
          </w:p>
          <w:p w14:paraId="2F78A19E">
            <w:pPr>
              <w:pStyle w:val="4"/>
              <w:jc w:val="both"/>
            </w:pPr>
            <w:r>
              <w:rPr>
                <w:rFonts w:ascii="仿宋_GB2312" w:hAnsi="仿宋_GB2312" w:eastAsia="仿宋_GB2312" w:cs="仿宋_GB2312"/>
                <w:sz w:val="22"/>
              </w:rPr>
              <w:t>（二）配置要求</w:t>
            </w:r>
          </w:p>
          <w:p w14:paraId="20FD02FB">
            <w:pPr>
              <w:pStyle w:val="4"/>
              <w:jc w:val="both"/>
            </w:pPr>
            <w:r>
              <w:rPr>
                <w:rFonts w:ascii="仿宋_GB2312" w:hAnsi="仿宋_GB2312" w:eastAsia="仿宋_GB2312" w:cs="仿宋_GB2312"/>
                <w:sz w:val="22"/>
              </w:rPr>
              <w:t>满足整体主机指标和功能的配件。</w:t>
            </w:r>
          </w:p>
        </w:tc>
      </w:tr>
      <w:tr w14:paraId="652F1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3" w:type="dxa"/>
          </w:tcPr>
          <w:p w14:paraId="063DAC0F">
            <w:pPr>
              <w:pStyle w:val="4"/>
            </w:pPr>
            <w:r>
              <w:rPr>
                <w:rFonts w:ascii="仿宋_GB2312" w:hAnsi="仿宋_GB2312" w:eastAsia="仿宋_GB2312" w:cs="仿宋_GB2312"/>
              </w:rPr>
              <w:t>2</w:t>
            </w:r>
          </w:p>
        </w:tc>
        <w:tc>
          <w:tcPr>
            <w:tcW w:w="1284" w:type="dxa"/>
          </w:tcPr>
          <w:p w14:paraId="059EC85A"/>
        </w:tc>
        <w:tc>
          <w:tcPr>
            <w:tcW w:w="6200" w:type="dxa"/>
          </w:tcPr>
          <w:p w14:paraId="23F7B8AC">
            <w:pPr>
              <w:pStyle w:val="4"/>
              <w:jc w:val="both"/>
            </w:pPr>
            <w:r>
              <w:rPr>
                <w:rFonts w:ascii="仿宋_GB2312" w:hAnsi="仿宋_GB2312" w:eastAsia="仿宋_GB2312" w:cs="仿宋_GB2312"/>
                <w:sz w:val="22"/>
              </w:rPr>
              <w:t>二、商务条款</w:t>
            </w:r>
          </w:p>
          <w:p w14:paraId="3EF54D49">
            <w:pPr>
              <w:pStyle w:val="4"/>
              <w:jc w:val="both"/>
            </w:pPr>
            <w:r>
              <w:rPr>
                <w:rFonts w:ascii="仿宋_GB2312" w:hAnsi="仿宋_GB2312" w:eastAsia="仿宋_GB2312" w:cs="仿宋_GB2312"/>
                <w:sz w:val="22"/>
              </w:rPr>
              <w:t>1、交货地点：采购人指定地点</w:t>
            </w:r>
          </w:p>
          <w:p w14:paraId="2C11CAB3">
            <w:pPr>
              <w:pStyle w:val="4"/>
              <w:jc w:val="both"/>
            </w:pPr>
            <w:r>
              <w:rPr>
                <w:rFonts w:ascii="仿宋_GB2312" w:hAnsi="仿宋_GB2312" w:eastAsia="仿宋_GB2312" w:cs="仿宋_GB2312"/>
                <w:sz w:val="22"/>
              </w:rPr>
              <w:t>2、交货时间：</w:t>
            </w:r>
          </w:p>
          <w:p w14:paraId="30370A3E">
            <w:pPr>
              <w:pStyle w:val="4"/>
              <w:jc w:val="both"/>
            </w:pPr>
            <w:r>
              <w:rPr>
                <w:rFonts w:ascii="仿宋_GB2312" w:hAnsi="仿宋_GB2312" w:eastAsia="仿宋_GB2312" w:cs="仿宋_GB2312"/>
                <w:b/>
                <w:sz w:val="22"/>
              </w:rPr>
              <w:t>进口产品：</w:t>
            </w:r>
            <w:r>
              <w:rPr>
                <w:rFonts w:ascii="仿宋_GB2312" w:hAnsi="仿宋_GB2312" w:eastAsia="仿宋_GB2312" w:cs="仿宋_GB2312"/>
                <w:sz w:val="22"/>
              </w:rPr>
              <w:t>合同签订后5个月内交付。</w:t>
            </w:r>
          </w:p>
          <w:p w14:paraId="53CEF4F8">
            <w:pPr>
              <w:pStyle w:val="4"/>
              <w:jc w:val="both"/>
            </w:pPr>
            <w:r>
              <w:rPr>
                <w:rFonts w:ascii="仿宋_GB2312" w:hAnsi="仿宋_GB2312" w:eastAsia="仿宋_GB2312" w:cs="仿宋_GB2312"/>
                <w:b/>
                <w:sz w:val="22"/>
              </w:rPr>
              <w:t>国产产品：</w:t>
            </w:r>
            <w:r>
              <w:rPr>
                <w:rFonts w:ascii="仿宋_GB2312" w:hAnsi="仿宋_GB2312" w:eastAsia="仿宋_GB2312" w:cs="仿宋_GB2312"/>
                <w:sz w:val="22"/>
              </w:rPr>
              <w:t>合同签订后45天安装调试完成保证可正常使用。</w:t>
            </w:r>
          </w:p>
          <w:p w14:paraId="44435AB6">
            <w:pPr>
              <w:pStyle w:val="4"/>
              <w:jc w:val="both"/>
            </w:pPr>
            <w:r>
              <w:rPr>
                <w:rFonts w:ascii="仿宋_GB2312" w:hAnsi="仿宋_GB2312" w:eastAsia="仿宋_GB2312" w:cs="仿宋_GB2312"/>
                <w:sz w:val="22"/>
              </w:rPr>
              <w:t>3、质量要求：符合验收“合格”标准</w:t>
            </w:r>
          </w:p>
          <w:p w14:paraId="700BC1CE">
            <w:pPr>
              <w:pStyle w:val="4"/>
              <w:jc w:val="both"/>
            </w:pPr>
            <w:r>
              <w:rPr>
                <w:rFonts w:ascii="仿宋_GB2312" w:hAnsi="仿宋_GB2312" w:eastAsia="仿宋_GB2312" w:cs="仿宋_GB2312"/>
                <w:sz w:val="22"/>
              </w:rPr>
              <w:t>4、质保期：质保期1年，自验收合格双方签字之日起计算。</w:t>
            </w:r>
          </w:p>
          <w:p w14:paraId="06CCFE7F">
            <w:pPr>
              <w:pStyle w:val="4"/>
              <w:jc w:val="both"/>
            </w:pPr>
            <w:r>
              <w:rPr>
                <w:rFonts w:ascii="仿宋_GB2312" w:hAnsi="仿宋_GB2312" w:eastAsia="仿宋_GB2312" w:cs="仿宋_GB2312"/>
                <w:sz w:val="22"/>
              </w:rPr>
              <w:t>5、安装调试：产品到达最终用户现场并完成场地准备，供货方在接到用户通知后2周内，安排有经验的工程技术人员到用户现场安装、调试。供货方和最终用户按投标的技术参数和性能描述为标准进行验收，产品的安装调试需在接到用户通知后10日内完成。</w:t>
            </w:r>
          </w:p>
          <w:p w14:paraId="22BA3B0E">
            <w:pPr>
              <w:pStyle w:val="4"/>
              <w:jc w:val="both"/>
            </w:pPr>
            <w:r>
              <w:rPr>
                <w:rFonts w:ascii="仿宋_GB2312" w:hAnsi="仿宋_GB2312" w:eastAsia="仿宋_GB2312" w:cs="仿宋_GB2312"/>
                <w:sz w:val="22"/>
              </w:rPr>
              <w:t>6、技术培训：安装验收期间，在用户所在地对用户进行产品操作和日常维护的现场培训，包括产品原理、使用方法和维护方法等。</w:t>
            </w:r>
          </w:p>
          <w:p w14:paraId="1E54E51A">
            <w:pPr>
              <w:pStyle w:val="4"/>
              <w:jc w:val="both"/>
            </w:pPr>
            <w:r>
              <w:rPr>
                <w:rFonts w:ascii="仿宋_GB2312" w:hAnsi="仿宋_GB2312" w:eastAsia="仿宋_GB2312" w:cs="仿宋_GB2312"/>
                <w:sz w:val="22"/>
              </w:rPr>
              <w:t>7、维修响应时间：中标人须提供24小时电话咨询服务。若产品出现故障，在接到报障电话后及时响应，48小时内远程解决；如无法远程解决，则需派工程技术人员上门维修，提供同类产品供采购人使用至故障产品能正常使用为止。如果需要更换配件的，更换的配件跟被更换的品牌、型号相一致或者是同类同档次的替代品。</w:t>
            </w:r>
          </w:p>
          <w:p w14:paraId="3CE693FA">
            <w:pPr>
              <w:pStyle w:val="4"/>
              <w:jc w:val="both"/>
            </w:pPr>
            <w:r>
              <w:rPr>
                <w:rFonts w:ascii="仿宋_GB2312" w:hAnsi="仿宋_GB2312" w:eastAsia="仿宋_GB2312" w:cs="仿宋_GB2312"/>
                <w:sz w:val="22"/>
              </w:rPr>
              <w:t>8、技术支持：有专职维修工程师和技术支持工程师，保证仪器的正常使用和技术咨询。7×24小时响应。</w:t>
            </w:r>
          </w:p>
          <w:p w14:paraId="28593B6C">
            <w:pPr>
              <w:pStyle w:val="4"/>
              <w:jc w:val="both"/>
            </w:pPr>
            <w:r>
              <w:rPr>
                <w:rFonts w:ascii="仿宋_GB2312" w:hAnsi="仿宋_GB2312" w:eastAsia="仿宋_GB2312" w:cs="仿宋_GB2312"/>
                <w:sz w:val="22"/>
              </w:rPr>
              <w:t>9、在保修期外, 若设备发生故障供应商可提供优惠价格的维修服务。</w:t>
            </w:r>
          </w:p>
          <w:p w14:paraId="2455D4F1">
            <w:pPr>
              <w:pStyle w:val="4"/>
              <w:jc w:val="both"/>
            </w:pPr>
            <w:r>
              <w:rPr>
                <w:rFonts w:ascii="仿宋_GB2312" w:hAnsi="仿宋_GB2312" w:eastAsia="仿宋_GB2312" w:cs="仿宋_GB2312"/>
                <w:sz w:val="22"/>
              </w:rPr>
              <w:t>10、提供一次免费移机服务。</w:t>
            </w:r>
          </w:p>
        </w:tc>
      </w:tr>
    </w:tbl>
    <w:p w14:paraId="5A8154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91971"/>
    <w:rsid w:val="4B791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2025-10-28T09:15:00Z</dcterms:created>
  <dc:creator>-7</dc:creator>
  <cp:lastModifiedBy>-7</cp:lastModifiedBy>
  <dcterms:modified xsi:type="dcterms:W3CDTF">2025-10-28T09:16:25Z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5B09FDD94CE8473E9C3E7074BBC40257_11</vt:lpwstr>
  </property>
  <property fmtid="{D5CDD505-2E9C-101B-9397-08002B2CF9AE}" pid="4" name="KSOTemplateDocerSaveRecord">
    <vt:lpwstr>eyJoZGlkIjoiYzA1MTFjMGE5NjMwY2U1ODU1MGFhN2UxMjk1NDdlZjEiLCJ1c2VySWQiOiI0MDcxMjAzOTgifQ==</vt:lpwstr>
  </property>
</Properties>
</file>