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59B0">
      <w:pPr>
        <w:adjustRightInd w:val="0"/>
        <w:snapToGrid w:val="0"/>
        <w:rPr>
          <w:rFonts w:ascii="宋体" w:hAnsi="宋体" w:eastAsia="宋体" w:cs="宋体"/>
          <w:b/>
          <w:color w:val="000000" w:themeColor="text1"/>
          <w:sz w:val="30"/>
          <w:szCs w:val="30"/>
          <w:highlight w:val="none"/>
          <w14:textFill>
            <w14:solidFill>
              <w14:schemeClr w14:val="tx1"/>
            </w14:solidFill>
          </w14:textFill>
        </w:rPr>
      </w:pPr>
      <w:bookmarkStart w:id="0" w:name="_Toc492920245"/>
      <w:bookmarkStart w:id="1" w:name="_Toc498035152"/>
      <w:r>
        <w:rPr>
          <w:rFonts w:hint="eastAsia" w:ascii="宋体" w:hAnsi="宋体" w:eastAsia="宋体" w:cs="宋体"/>
          <w:b/>
          <w:color w:val="000000" w:themeColor="text1"/>
          <w:sz w:val="30"/>
          <w:szCs w:val="30"/>
          <w:highlight w:val="none"/>
          <w14:textFill>
            <w14:solidFill>
              <w14:schemeClr w14:val="tx1"/>
            </w14:solidFill>
          </w14:textFill>
        </w:rPr>
        <w:t>一、货物需求一览表</w:t>
      </w:r>
    </w:p>
    <w:p w14:paraId="77F49A3D">
      <w:pPr>
        <w:adjustRightInd w:val="0"/>
        <w:snapToGrid w:val="0"/>
        <w:rPr>
          <w:rFonts w:ascii="宋体" w:hAnsi="宋体" w:eastAsia="宋体" w:cs="宋体"/>
          <w:b/>
          <w:color w:val="000000" w:themeColor="text1"/>
          <w:sz w:val="30"/>
          <w:szCs w:val="30"/>
          <w:highlight w:val="none"/>
          <w14:textFill>
            <w14:solidFill>
              <w14:schemeClr w14:val="tx1"/>
            </w14:solidFill>
          </w14:textFill>
        </w:rPr>
      </w:pPr>
    </w:p>
    <w:tbl>
      <w:tblPr>
        <w:tblStyle w:val="9"/>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46"/>
        <w:gridCol w:w="1079"/>
        <w:gridCol w:w="1576"/>
        <w:gridCol w:w="1342"/>
        <w:gridCol w:w="1285"/>
        <w:gridCol w:w="1231"/>
      </w:tblGrid>
      <w:tr w14:paraId="48DA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98" w:type="dxa"/>
            <w:tcBorders>
              <w:top w:val="single" w:color="auto" w:sz="4" w:space="0"/>
              <w:left w:val="single" w:color="auto" w:sz="4" w:space="0"/>
              <w:bottom w:val="single" w:color="auto" w:sz="4" w:space="0"/>
              <w:right w:val="single" w:color="auto" w:sz="4" w:space="0"/>
            </w:tcBorders>
            <w:shd w:val="clear" w:color="auto" w:fill="EEECE1"/>
            <w:vAlign w:val="center"/>
          </w:tcPr>
          <w:p w14:paraId="4C74CE10">
            <w:pPr>
              <w:jc w:val="center"/>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包号</w:t>
            </w:r>
          </w:p>
        </w:tc>
        <w:tc>
          <w:tcPr>
            <w:tcW w:w="1846" w:type="dxa"/>
            <w:tcBorders>
              <w:top w:val="single" w:color="auto" w:sz="4" w:space="0"/>
              <w:left w:val="single" w:color="auto" w:sz="4" w:space="0"/>
              <w:bottom w:val="single" w:color="auto" w:sz="4" w:space="0"/>
              <w:right w:val="single" w:color="auto" w:sz="4" w:space="0"/>
            </w:tcBorders>
            <w:shd w:val="clear" w:color="auto" w:fill="EEECE1"/>
            <w:vAlign w:val="center"/>
          </w:tcPr>
          <w:p w14:paraId="495DD172">
            <w:pPr>
              <w:jc w:val="center"/>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货物名称</w:t>
            </w:r>
          </w:p>
        </w:tc>
        <w:tc>
          <w:tcPr>
            <w:tcW w:w="1079" w:type="dxa"/>
            <w:tcBorders>
              <w:top w:val="single" w:color="auto" w:sz="4" w:space="0"/>
              <w:left w:val="single" w:color="auto" w:sz="4" w:space="0"/>
              <w:bottom w:val="single" w:color="auto" w:sz="4" w:space="0"/>
              <w:right w:val="single" w:color="auto" w:sz="4" w:space="0"/>
            </w:tcBorders>
            <w:shd w:val="clear" w:color="auto" w:fill="EEECE1"/>
            <w:vAlign w:val="center"/>
          </w:tcPr>
          <w:p w14:paraId="3CAE429F">
            <w:pPr>
              <w:jc w:val="center"/>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数量</w:t>
            </w:r>
          </w:p>
        </w:tc>
        <w:tc>
          <w:tcPr>
            <w:tcW w:w="1576" w:type="dxa"/>
            <w:tcBorders>
              <w:top w:val="single" w:color="auto" w:sz="4" w:space="0"/>
              <w:left w:val="single" w:color="auto" w:sz="4" w:space="0"/>
              <w:bottom w:val="single" w:color="auto" w:sz="4" w:space="0"/>
              <w:right w:val="single" w:color="auto" w:sz="4" w:space="0"/>
            </w:tcBorders>
            <w:shd w:val="clear" w:color="auto" w:fill="EEECE1"/>
            <w:vAlign w:val="center"/>
          </w:tcPr>
          <w:p w14:paraId="0160EA50">
            <w:pPr>
              <w:jc w:val="center"/>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是否接受进口设备参与投标</w:t>
            </w:r>
          </w:p>
        </w:tc>
        <w:tc>
          <w:tcPr>
            <w:tcW w:w="1342" w:type="dxa"/>
            <w:tcBorders>
              <w:top w:val="single" w:color="auto" w:sz="4" w:space="0"/>
              <w:left w:val="single" w:color="auto" w:sz="4" w:space="0"/>
              <w:bottom w:val="single" w:color="auto" w:sz="4" w:space="0"/>
              <w:right w:val="single" w:color="auto" w:sz="4" w:space="0"/>
            </w:tcBorders>
            <w:shd w:val="clear" w:color="auto" w:fill="EEECE1"/>
            <w:vAlign w:val="center"/>
          </w:tcPr>
          <w:p w14:paraId="0C38EC67">
            <w:pPr>
              <w:jc w:val="center"/>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预算金额</w:t>
            </w:r>
          </w:p>
          <w:p w14:paraId="70757D3E">
            <w:pPr>
              <w:jc w:val="center"/>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（万元）</w:t>
            </w:r>
          </w:p>
        </w:tc>
        <w:tc>
          <w:tcPr>
            <w:tcW w:w="1285" w:type="dxa"/>
            <w:tcBorders>
              <w:top w:val="single" w:color="auto" w:sz="4" w:space="0"/>
              <w:left w:val="single" w:color="auto" w:sz="4" w:space="0"/>
              <w:bottom w:val="single" w:color="auto" w:sz="4" w:space="0"/>
              <w:right w:val="single" w:color="auto" w:sz="4" w:space="0"/>
            </w:tcBorders>
            <w:shd w:val="clear" w:color="auto" w:fill="EEECE1"/>
            <w:vAlign w:val="center"/>
          </w:tcPr>
          <w:p w14:paraId="4249283F">
            <w:pPr>
              <w:jc w:val="center"/>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最高限价（万元）</w:t>
            </w:r>
          </w:p>
        </w:tc>
        <w:tc>
          <w:tcPr>
            <w:tcW w:w="1231" w:type="dxa"/>
            <w:tcBorders>
              <w:top w:val="single" w:color="auto" w:sz="4" w:space="0"/>
              <w:left w:val="single" w:color="auto" w:sz="4" w:space="0"/>
              <w:bottom w:val="single" w:color="auto" w:sz="4" w:space="0"/>
              <w:right w:val="single" w:color="auto" w:sz="4" w:space="0"/>
            </w:tcBorders>
            <w:shd w:val="clear" w:color="auto" w:fill="EEECE1"/>
            <w:vAlign w:val="center"/>
          </w:tcPr>
          <w:p w14:paraId="7311B51A">
            <w:pPr>
              <w:jc w:val="center"/>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本项目所属行业</w:t>
            </w:r>
          </w:p>
        </w:tc>
      </w:tr>
      <w:tr w14:paraId="7E98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798" w:type="dxa"/>
            <w:tcBorders>
              <w:top w:val="single" w:color="auto" w:sz="4" w:space="0"/>
              <w:left w:val="single" w:color="auto" w:sz="4" w:space="0"/>
              <w:right w:val="single" w:color="auto" w:sz="4" w:space="0"/>
            </w:tcBorders>
            <w:vAlign w:val="center"/>
          </w:tcPr>
          <w:p w14:paraId="4830FCCF">
            <w:pPr>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846" w:type="dxa"/>
            <w:tcBorders>
              <w:top w:val="single" w:color="auto" w:sz="4" w:space="0"/>
              <w:left w:val="single" w:color="auto" w:sz="4" w:space="0"/>
              <w:bottom w:val="single" w:color="auto" w:sz="4" w:space="0"/>
              <w:right w:val="single" w:color="auto" w:sz="4" w:space="0"/>
            </w:tcBorders>
            <w:vAlign w:val="center"/>
          </w:tcPr>
          <w:p w14:paraId="55B18F09">
            <w:pPr>
              <w:pStyle w:val="5"/>
              <w:spacing w:line="240" w:lineRule="auto"/>
              <w:ind w:firstLine="480" w:firstLineChars="200"/>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探针台</w:t>
            </w:r>
          </w:p>
        </w:tc>
        <w:tc>
          <w:tcPr>
            <w:tcW w:w="1079" w:type="dxa"/>
            <w:tcBorders>
              <w:top w:val="single" w:color="auto" w:sz="4" w:space="0"/>
              <w:left w:val="single" w:color="auto" w:sz="4" w:space="0"/>
              <w:bottom w:val="single" w:color="auto" w:sz="4" w:space="0"/>
              <w:right w:val="single" w:color="auto" w:sz="4" w:space="0"/>
            </w:tcBorders>
            <w:vAlign w:val="center"/>
          </w:tcPr>
          <w:p w14:paraId="75F3D353">
            <w:pPr>
              <w:pStyle w:val="5"/>
              <w:spacing w:line="240" w:lineRule="auto"/>
              <w:jc w:val="center"/>
              <w:rPr>
                <w:rFonts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1套</w:t>
            </w:r>
          </w:p>
        </w:tc>
        <w:tc>
          <w:tcPr>
            <w:tcW w:w="1576" w:type="dxa"/>
            <w:tcBorders>
              <w:top w:val="single" w:color="auto" w:sz="4" w:space="0"/>
              <w:left w:val="single" w:color="auto" w:sz="4" w:space="0"/>
              <w:bottom w:val="single" w:color="auto" w:sz="4" w:space="0"/>
              <w:right w:val="single" w:color="auto" w:sz="4" w:space="0"/>
            </w:tcBorders>
            <w:vAlign w:val="center"/>
          </w:tcPr>
          <w:p w14:paraId="08A0AC7D">
            <w:pPr>
              <w:ind w:right="25" w:rightChars="12"/>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w:t>
            </w:r>
          </w:p>
        </w:tc>
        <w:tc>
          <w:tcPr>
            <w:tcW w:w="1342" w:type="dxa"/>
            <w:tcBorders>
              <w:top w:val="single" w:color="auto" w:sz="4" w:space="0"/>
              <w:left w:val="single" w:color="auto" w:sz="4" w:space="0"/>
              <w:bottom w:val="single" w:color="auto" w:sz="4" w:space="0"/>
              <w:right w:val="single" w:color="auto" w:sz="4" w:space="0"/>
            </w:tcBorders>
            <w:vAlign w:val="center"/>
          </w:tcPr>
          <w:p w14:paraId="318A8130">
            <w:pPr>
              <w:ind w:right="25" w:rightChars="12"/>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180</w:t>
            </w:r>
          </w:p>
        </w:tc>
        <w:tc>
          <w:tcPr>
            <w:tcW w:w="1285" w:type="dxa"/>
            <w:tcBorders>
              <w:top w:val="single" w:color="auto" w:sz="4" w:space="0"/>
              <w:left w:val="single" w:color="auto" w:sz="4" w:space="0"/>
              <w:bottom w:val="single" w:color="auto" w:sz="4" w:space="0"/>
              <w:right w:val="single" w:color="auto" w:sz="4" w:space="0"/>
            </w:tcBorders>
            <w:vAlign w:val="center"/>
          </w:tcPr>
          <w:p w14:paraId="22134DD2">
            <w:pPr>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180</w:t>
            </w:r>
          </w:p>
        </w:tc>
        <w:tc>
          <w:tcPr>
            <w:tcW w:w="1231" w:type="dxa"/>
            <w:tcBorders>
              <w:top w:val="single" w:color="auto" w:sz="4" w:space="0"/>
              <w:left w:val="single" w:color="auto" w:sz="4" w:space="0"/>
              <w:bottom w:val="single" w:color="auto" w:sz="4" w:space="0"/>
              <w:right w:val="single" w:color="auto" w:sz="4" w:space="0"/>
            </w:tcBorders>
            <w:vAlign w:val="center"/>
          </w:tcPr>
          <w:p w14:paraId="523BC38A">
            <w:pPr>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sz w:val="24"/>
                <w:highlight w:val="none"/>
                <w:u w:val="single"/>
              </w:rPr>
              <w:t>制造业</w:t>
            </w:r>
          </w:p>
        </w:tc>
      </w:tr>
    </w:tbl>
    <w:p w14:paraId="77B36CB2">
      <w:pPr>
        <w:adjustRightInd w:val="0"/>
        <w:snapToGrid w:val="0"/>
        <w:jc w:val="center"/>
        <w:rPr>
          <w:rFonts w:ascii="宋体" w:hAnsi="宋体" w:eastAsia="宋体" w:cs="宋体"/>
          <w:b/>
          <w:color w:val="000000" w:themeColor="text1"/>
          <w:sz w:val="30"/>
          <w:szCs w:val="30"/>
          <w:highlight w:val="none"/>
          <w14:textFill>
            <w14:solidFill>
              <w14:schemeClr w14:val="tx1"/>
            </w14:solidFill>
          </w14:textFill>
        </w:rPr>
      </w:pPr>
    </w:p>
    <w:p w14:paraId="7DEF8EFF">
      <w:pPr>
        <w:adjustRightInd w:val="0"/>
        <w:snapToGrid w:val="0"/>
        <w:jc w:val="center"/>
        <w:rPr>
          <w:rFonts w:ascii="宋体" w:hAnsi="宋体" w:eastAsia="宋体" w:cs="宋体"/>
          <w:b/>
          <w:color w:val="000000" w:themeColor="text1"/>
          <w:sz w:val="30"/>
          <w:szCs w:val="30"/>
          <w:highlight w:val="none"/>
          <w14:textFill>
            <w14:solidFill>
              <w14:schemeClr w14:val="tx1"/>
            </w14:solidFill>
          </w14:textFill>
        </w:rPr>
      </w:pPr>
    </w:p>
    <w:p w14:paraId="6A4DCEB6">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4600028B">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1、投标人须对上述投标内容中完整的一包或几包进行投标，不完整的投标将视为非响应性投标予以拒绝。</w:t>
      </w:r>
    </w:p>
    <w:p w14:paraId="6D6308DE">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45F40725">
      <w:pPr>
        <w:spacing w:line="360" w:lineRule="auto"/>
        <w:ind w:left="600" w:hanging="600"/>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二、总  则</w:t>
      </w:r>
    </w:p>
    <w:p w14:paraId="14724EE2">
      <w:pPr>
        <w:spacing w:before="156" w:beforeLines="50" w:after="156" w:afterLines="50" w:line="360" w:lineRule="auto"/>
        <w:ind w:left="601" w:hanging="601"/>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1、投标要求</w:t>
      </w:r>
    </w:p>
    <w:p w14:paraId="0048E7BB">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  投标人在准备投标书时，务必在所提供的商品的技术规格文件中，标明型号、商标名称、目录号。</w:t>
      </w:r>
    </w:p>
    <w:p w14:paraId="07EEAA2F">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  投标人提供的货物的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6A0377DC">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1.3  </w:t>
      </w:r>
      <w:r>
        <w:rPr>
          <w:rFonts w:hint="eastAsia" w:ascii="宋体" w:hAnsi="宋体" w:eastAsia="宋体" w:cs="宋体"/>
          <w:b/>
          <w:bCs/>
          <w:color w:val="000000" w:themeColor="text1"/>
          <w:sz w:val="24"/>
          <w:highlight w:val="none"/>
          <w14:textFill>
            <w14:solidFill>
              <w14:schemeClr w14:val="tx1"/>
            </w14:solidFill>
          </w14:textFill>
        </w:rPr>
        <w:t>投标人提供的所有货物或系统均要求为全新，符合国家质量检测标准和招标文件的要求。</w:t>
      </w:r>
      <w:r>
        <w:rPr>
          <w:rFonts w:hint="eastAsia" w:ascii="宋体" w:hAnsi="宋体" w:eastAsia="宋体" w:cs="宋体"/>
          <w:color w:val="000000" w:themeColor="text1"/>
          <w:sz w:val="24"/>
          <w:highlight w:val="none"/>
          <w14:textFill>
            <w14:solidFill>
              <w14:schemeClr w14:val="tx1"/>
            </w14:solidFill>
          </w14:textFill>
        </w:rPr>
        <w:t>投标人提供的产品样本，必须是“原件”而非复印件，图表、简图、电路图以及印刷电路板图等都应清晰易读。买方有权不付任何附加费用复制这些资料以供参考。</w:t>
      </w:r>
    </w:p>
    <w:p w14:paraId="221A1046">
      <w:pPr>
        <w:spacing w:before="156" w:beforeLines="50" w:after="156" w:afterLines="50" w:line="360" w:lineRule="auto"/>
        <w:ind w:left="601" w:hanging="601"/>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2、评标标准</w:t>
      </w:r>
    </w:p>
    <w:p w14:paraId="5CEF246C">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  除招标文件中指定的附件和专用工具外，投标人应提供仪器设备的正常运行和常规保养所需的全套标准附件、专用工具和消耗品。投标人在投标书中需列出这些附件和工具的数量和单价的清单，这些附件和工具的报价的总值需计入投标价中。</w:t>
      </w:r>
    </w:p>
    <w:p w14:paraId="5D5518A7">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对于标书技术规范中已列出的作为查询选件的附件、零配件、专用工具和消耗品，投标书中应列明其数量、单价、总价供买方参考。投标人也可推荐买方没有要求的附件或专用工具作为选件，并列明其数量、单价、总价供买方参考。选件价格不计入评标价中。选件一旦为用户接受，其费用将加入合同价中。</w:t>
      </w:r>
    </w:p>
    <w:p w14:paraId="249F9B35">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  为便于用户进行接收仪器的准备工作，卖方应在合同生效后</w:t>
      </w:r>
      <w:r>
        <w:rPr>
          <w:rFonts w:hint="eastAsia" w:ascii="宋体" w:hAnsi="宋体" w:eastAsia="宋体" w:cs="宋体"/>
          <w:b/>
          <w:color w:val="000000" w:themeColor="text1"/>
          <w:sz w:val="24"/>
          <w:highlight w:val="none"/>
          <w14:textFill>
            <w14:solidFill>
              <w14:schemeClr w14:val="tx1"/>
            </w14:solidFill>
          </w14:textFill>
        </w:rPr>
        <w:t>60</w:t>
      </w:r>
      <w:r>
        <w:rPr>
          <w:rFonts w:hint="eastAsia" w:ascii="宋体" w:hAnsi="宋体" w:eastAsia="宋体" w:cs="宋体"/>
          <w:color w:val="000000" w:themeColor="text1"/>
          <w:sz w:val="24"/>
          <w:highlight w:val="none"/>
          <w14:textFill>
            <w14:solidFill>
              <w14:schemeClr w14:val="tx1"/>
            </w14:solidFill>
          </w14:textFill>
        </w:rPr>
        <w:t>天内向用户提供一套完整的使用说明书、操作手册、维修及安装说明等文件。另一套完整上述资料应在交货时随货包装提供给用户，这些费用应计入投标价中。</w:t>
      </w:r>
    </w:p>
    <w:p w14:paraId="1A12003F">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  关于设备的安装调试，如果有必要的安装准备条件，卖方应在合同生效后一个月内向买方提出详细的要求或计划。安装调试的费用应计入投标价中，并应单独列出，供评标使用。</w:t>
      </w:r>
    </w:p>
    <w:p w14:paraId="3FA02902">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  制造厂家或其国内代理提供的培训指的是涉及货物的基本原理、操作使用和保养维修等有关内容的培训。培训教员的培训费、旅费、食宿费等费用和培训场地费及培训资料费均应由卖方支付。</w:t>
      </w:r>
    </w:p>
    <w:p w14:paraId="2CDA681E">
      <w:pPr>
        <w:spacing w:before="156" w:beforeLines="50" w:after="156" w:afterLines="50" w:line="360" w:lineRule="auto"/>
        <w:ind w:left="601" w:hanging="601"/>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3、工作条件</w:t>
      </w:r>
    </w:p>
    <w:p w14:paraId="51D90610">
      <w:pPr>
        <w:spacing w:after="312" w:afterLines="100"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除非在技术规格中另有说明，所有仪器、设备和系统都应符合下列要求： </w:t>
      </w:r>
    </w:p>
    <w:p w14:paraId="0DCA7260">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  适于在气温为摄氏</w:t>
      </w:r>
      <w:r>
        <w:rPr>
          <w:rFonts w:hint="eastAsia" w:ascii="宋体" w:hAnsi="宋体" w:eastAsia="宋体" w:cs="宋体"/>
          <w:b/>
          <w:color w:val="000000" w:themeColor="text1"/>
          <w:sz w:val="24"/>
          <w:highlight w:val="none"/>
          <w14:textFill>
            <w14:solidFill>
              <w14:schemeClr w14:val="tx1"/>
            </w14:solidFill>
          </w14:textFill>
        </w:rPr>
        <w:t>-40℃～＋50℃</w:t>
      </w:r>
      <w:r>
        <w:rPr>
          <w:rFonts w:hint="eastAsia" w:ascii="宋体" w:hAnsi="宋体" w:eastAsia="宋体" w:cs="宋体"/>
          <w:color w:val="000000" w:themeColor="text1"/>
          <w:sz w:val="24"/>
          <w:highlight w:val="none"/>
          <w14:textFill>
            <w14:solidFill>
              <w14:schemeClr w14:val="tx1"/>
            </w14:solidFill>
          </w14:textFill>
        </w:rPr>
        <w:t>和相对湿度为</w:t>
      </w:r>
      <w:r>
        <w:rPr>
          <w:rFonts w:hint="eastAsia" w:ascii="宋体" w:hAnsi="宋体" w:eastAsia="宋体" w:cs="宋体"/>
          <w:b/>
          <w:color w:val="000000" w:themeColor="text1"/>
          <w:sz w:val="24"/>
          <w:highlight w:val="none"/>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的环境条件下运输和贮存。</w:t>
      </w:r>
    </w:p>
    <w:p w14:paraId="2A928932">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  适于在电源</w:t>
      </w:r>
      <w:r>
        <w:rPr>
          <w:rFonts w:hint="eastAsia" w:ascii="宋体" w:hAnsi="宋体" w:eastAsia="宋体" w:cs="宋体"/>
          <w:b/>
          <w:color w:val="000000" w:themeColor="text1"/>
          <w:sz w:val="24"/>
          <w:highlight w:val="none"/>
          <w14:textFill>
            <w14:solidFill>
              <w14:schemeClr w14:val="tx1"/>
            </w14:solidFill>
          </w14:textFill>
        </w:rPr>
        <w:t>220V（</w:t>
      </w:r>
      <w:r>
        <w:rPr>
          <w:rFonts w:hint="eastAsia" w:ascii="宋体" w:hAnsi="宋体" w:eastAsia="宋体" w:cs="宋体"/>
          <w:b/>
          <w:color w:val="000000" w:themeColor="text1"/>
          <w:sz w:val="24"/>
          <w:highlight w:val="none"/>
          <w14:textFill>
            <w14:solidFill>
              <w14:schemeClr w14:val="tx1"/>
            </w14:solidFill>
          </w14:textFill>
        </w:rPr>
        <w:sym w:font="Symbol" w:char="F0B1"/>
      </w:r>
      <w:r>
        <w:rPr>
          <w:rFonts w:hint="eastAsia" w:ascii="宋体" w:hAnsi="宋体" w:eastAsia="宋体" w:cs="宋体"/>
          <w:b/>
          <w:color w:val="000000" w:themeColor="text1"/>
          <w:sz w:val="24"/>
          <w:highlight w:val="none"/>
          <w14:textFill>
            <w14:solidFill>
              <w14:schemeClr w14:val="tx1"/>
            </w14:solidFill>
          </w14:textFill>
        </w:rPr>
        <w:t>10％）/50Hz</w:t>
      </w:r>
      <w:r>
        <w:rPr>
          <w:rFonts w:hint="eastAsia" w:ascii="宋体" w:hAnsi="宋体" w:eastAsia="宋体" w:cs="宋体"/>
          <w:color w:val="000000" w:themeColor="text1"/>
          <w:sz w:val="24"/>
          <w:highlight w:val="none"/>
          <w14:textFill>
            <w14:solidFill>
              <w14:schemeClr w14:val="tx1"/>
            </w14:solidFill>
          </w14:textFill>
        </w:rPr>
        <w:t>、气温摄氏</w:t>
      </w:r>
      <w:r>
        <w:rPr>
          <w:rFonts w:hint="eastAsia" w:ascii="宋体" w:hAnsi="宋体" w:eastAsia="宋体" w:cs="宋体"/>
          <w:b/>
          <w:color w:val="000000" w:themeColor="text1"/>
          <w:sz w:val="24"/>
          <w:highlight w:val="none"/>
          <w14:textFill>
            <w14:solidFill>
              <w14:schemeClr w14:val="tx1"/>
            </w14:solidFill>
          </w14:textFill>
        </w:rPr>
        <w:t>+15℃～＋30℃</w:t>
      </w:r>
      <w:r>
        <w:rPr>
          <w:rFonts w:hint="eastAsia" w:ascii="宋体" w:hAnsi="宋体" w:eastAsia="宋体" w:cs="宋体"/>
          <w:color w:val="000000" w:themeColor="text1"/>
          <w:sz w:val="24"/>
          <w:highlight w:val="none"/>
          <w14:textFill>
            <w14:solidFill>
              <w14:schemeClr w14:val="tx1"/>
            </w14:solidFill>
          </w14:textFill>
        </w:rPr>
        <w:t>和相对湿度小于</w:t>
      </w:r>
      <w:r>
        <w:rPr>
          <w:rFonts w:hint="eastAsia" w:ascii="宋体" w:hAnsi="宋体" w:eastAsia="宋体" w:cs="宋体"/>
          <w:b/>
          <w:color w:val="000000" w:themeColor="text1"/>
          <w:sz w:val="24"/>
          <w:highlight w:val="none"/>
          <w14:textFill>
            <w14:solidFill>
              <w14:schemeClr w14:val="tx1"/>
            </w14:solidFill>
          </w14:textFill>
        </w:rPr>
        <w:t>80％</w:t>
      </w:r>
      <w:r>
        <w:rPr>
          <w:rFonts w:hint="eastAsia" w:ascii="宋体" w:hAnsi="宋体" w:eastAsia="宋体" w:cs="宋体"/>
          <w:color w:val="000000" w:themeColor="text1"/>
          <w:sz w:val="24"/>
          <w:highlight w:val="none"/>
          <w14:textFill>
            <w14:solidFill>
              <w14:schemeClr w14:val="tx1"/>
            </w14:solidFill>
          </w14:textFill>
        </w:rPr>
        <w:t>的环境条件下运行。</w:t>
      </w:r>
      <w:r>
        <w:rPr>
          <w:rFonts w:hint="eastAsia" w:ascii="宋体" w:hAnsi="宋体" w:eastAsia="宋体" w:cs="宋体"/>
          <w:b/>
          <w:color w:val="000000" w:themeColor="text1"/>
          <w:sz w:val="24"/>
          <w:highlight w:val="none"/>
          <w14:textFill>
            <w14:solidFill>
              <w14:schemeClr w14:val="tx1"/>
            </w14:solidFill>
          </w14:textFill>
        </w:rPr>
        <w:t>能够连续正常工作。</w:t>
      </w:r>
    </w:p>
    <w:p w14:paraId="52A5FF1B">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  配置符合中国有关标准要求的插头，如果没有这样的插头，则需提供适当的转换插座。</w:t>
      </w:r>
    </w:p>
    <w:p w14:paraId="453894A3">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  如产品达不到上述要求，投标人应注明其偏差。如仪器设备需要特殊工作条件（如水、电源、磁场强度、温度、湿度、动强度等）投标人应在投标书中加以说明。</w:t>
      </w:r>
    </w:p>
    <w:p w14:paraId="26AB0549">
      <w:pPr>
        <w:rPr>
          <w:rFonts w:hint="eastAsia" w:ascii="宋体" w:hAnsi="宋体" w:eastAsia="宋体" w:cs="宋体"/>
          <w:b/>
          <w:bCs/>
          <w:color w:val="000000" w:themeColor="text1"/>
          <w:kern w:val="44"/>
          <w:sz w:val="24"/>
          <w:highlight w:val="none"/>
          <w14:textFill>
            <w14:solidFill>
              <w14:schemeClr w14:val="tx1"/>
            </w14:solidFill>
          </w14:textFill>
        </w:rPr>
      </w:pPr>
    </w:p>
    <w:p w14:paraId="09F693B8">
      <w:pPr>
        <w:spacing w:before="156" w:beforeLines="50" w:after="156" w:afterLines="50" w:line="360" w:lineRule="auto"/>
        <w:ind w:left="601" w:hanging="601"/>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4、验收标准</w:t>
      </w:r>
    </w:p>
    <w:p w14:paraId="538DB749">
      <w:pPr>
        <w:spacing w:after="312" w:afterLines="100"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除非在技术规格中另有说明，所有仪器、设备和系统按下列要求进行验收： </w:t>
      </w:r>
    </w:p>
    <w:p w14:paraId="7EBD4342">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  仪器设备运抵安装现场后，买方将与卖方共同开箱验收, 如卖方届时不派人来, 则验收结果应以买方的验收报告为最终验收结果。验收时发现短缺、破损, 买方有权要求卖方负责更换。</w:t>
      </w:r>
    </w:p>
    <w:p w14:paraId="3DCA2FB7">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  验收标准以中标人提供的投标文件中所列的指标为准（该指标应不低于招标文件所要求的指标）。任何虚假指标响应一经发现即作废标，卖方必须承担由此给买方带来的一切经济损失和其它相关责任。</w:t>
      </w:r>
    </w:p>
    <w:p w14:paraId="10955953">
      <w:pPr>
        <w:spacing w:line="360" w:lineRule="auto"/>
        <w:ind w:left="554" w:hanging="554" w:hangingChars="23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4.3  验收由采购人、中标人及相关人员依国家有关标准、合同及有关附件要求进行，验收完毕由采购人及中标人在验收报告上签名。</w:t>
      </w:r>
    </w:p>
    <w:p w14:paraId="4C907076">
      <w:pPr>
        <w:pStyle w:val="6"/>
        <w:spacing w:line="360" w:lineRule="auto"/>
        <w:ind w:left="410" w:hanging="410" w:hangingChars="170"/>
        <w:rPr>
          <w:rFonts w:hint="eastAsia" w:hAnsi="宋体" w:eastAsia="宋体" w:cs="宋体"/>
          <w:b/>
          <w:color w:val="000000" w:themeColor="text1"/>
          <w:sz w:val="24"/>
          <w:szCs w:val="24"/>
          <w:highlight w:val="none"/>
          <w14:textFill>
            <w14:solidFill>
              <w14:schemeClr w14:val="tx1"/>
            </w14:solidFill>
          </w14:textFill>
        </w:rPr>
      </w:pPr>
    </w:p>
    <w:p w14:paraId="5C373841">
      <w:pPr>
        <w:spacing w:before="156" w:beforeLines="50" w:after="156" w:afterLines="50" w:line="360" w:lineRule="auto"/>
        <w:ind w:left="601" w:hanging="601"/>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5、本技术规格书中标注“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 w:val="28"/>
          <w:highlight w:val="none"/>
          <w14:textFill>
            <w14:solidFill>
              <w14:schemeClr w14:val="tx1"/>
            </w14:solidFill>
          </w14:textFill>
        </w:rPr>
        <w:t>”号的为关键技术参数，对这些关键技术参数的任何负偏离将导致废标。</w:t>
      </w:r>
    </w:p>
    <w:p w14:paraId="4D760A34">
      <w:pPr>
        <w:spacing w:before="156" w:beforeLines="50" w:after="156" w:afterLines="50" w:line="360" w:lineRule="auto"/>
        <w:ind w:left="601" w:hanging="601"/>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6、如在具体技术规格中有本总则不一致之处，以具体技术规格中的要求为准。</w:t>
      </w:r>
    </w:p>
    <w:p w14:paraId="3DC07866">
      <w:pPr>
        <w:spacing w:after="156" w:afterLines="50"/>
        <w:ind w:left="601" w:hanging="601"/>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br w:type="page"/>
      </w:r>
      <w:r>
        <w:rPr>
          <w:rFonts w:hint="eastAsia" w:ascii="宋体" w:hAnsi="宋体" w:eastAsia="宋体" w:cs="宋体"/>
          <w:b/>
          <w:color w:val="000000" w:themeColor="text1"/>
          <w:sz w:val="28"/>
          <w:highlight w:val="none"/>
          <w14:textFill>
            <w14:solidFill>
              <w14:schemeClr w14:val="tx1"/>
            </w14:solidFill>
          </w14:textFill>
        </w:rPr>
        <w:t>三、具体技术规格</w:t>
      </w:r>
    </w:p>
    <w:p w14:paraId="6CF3DDEB">
      <w:pPr>
        <w:pStyle w:val="8"/>
        <w:spacing w:line="360" w:lineRule="auto"/>
        <w:ind w:right="708" w:rightChars="33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（一）技术要求：</w:t>
      </w:r>
    </w:p>
    <w:p w14:paraId="62956140">
      <w:pPr>
        <w:widowControl/>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1、配置清单及零配件（包括专用工具）：</w:t>
      </w:r>
    </w:p>
    <w:tbl>
      <w:tblPr>
        <w:tblStyle w:val="9"/>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4561"/>
        <w:gridCol w:w="1872"/>
        <w:gridCol w:w="1624"/>
      </w:tblGrid>
      <w:tr w14:paraId="72C1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456" w:type="dxa"/>
          </w:tcPr>
          <w:p w14:paraId="17C0CF36">
            <w:pPr>
              <w:widowControl/>
              <w:snapToGrid w:val="0"/>
              <w:spacing w:before="156" w:beforeLines="5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4561" w:type="dxa"/>
          </w:tcPr>
          <w:p w14:paraId="5ADA00DD">
            <w:pPr>
              <w:widowControl/>
              <w:snapToGrid w:val="0"/>
              <w:spacing w:before="156" w:beforeLines="5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名称</w:t>
            </w:r>
          </w:p>
        </w:tc>
        <w:tc>
          <w:tcPr>
            <w:tcW w:w="1872" w:type="dxa"/>
          </w:tcPr>
          <w:p w14:paraId="78600B9A">
            <w:pPr>
              <w:widowControl/>
              <w:snapToGrid w:val="0"/>
              <w:spacing w:before="156" w:beforeLines="5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1624" w:type="dxa"/>
          </w:tcPr>
          <w:p w14:paraId="17AA13AD">
            <w:pPr>
              <w:widowControl/>
              <w:snapToGrid w:val="0"/>
              <w:spacing w:before="156" w:beforeLines="5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单位</w:t>
            </w:r>
          </w:p>
        </w:tc>
      </w:tr>
      <w:tr w14:paraId="5AB2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456" w:type="dxa"/>
          </w:tcPr>
          <w:p w14:paraId="05CD48B1">
            <w:pPr>
              <w:widowControl/>
              <w:snapToGrid w:val="0"/>
              <w:spacing w:before="156" w:before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4561" w:type="dxa"/>
          </w:tcPr>
          <w:p w14:paraId="2F6A50B2">
            <w:pPr>
              <w:widowControl/>
              <w:snapToGrid w:val="0"/>
              <w:spacing w:before="156" w:beforeLines="50"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8吋半自动探针台</w:t>
            </w:r>
          </w:p>
        </w:tc>
        <w:tc>
          <w:tcPr>
            <w:tcW w:w="1872" w:type="dxa"/>
          </w:tcPr>
          <w:p w14:paraId="1CA67E74">
            <w:pPr>
              <w:widowControl/>
              <w:snapToGrid w:val="0"/>
              <w:spacing w:before="156" w:before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624" w:type="dxa"/>
          </w:tcPr>
          <w:p w14:paraId="3A4DEE0D">
            <w:pPr>
              <w:widowControl/>
              <w:snapToGrid w:val="0"/>
              <w:spacing w:before="156" w:before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689C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456" w:type="dxa"/>
          </w:tcPr>
          <w:p w14:paraId="00A56309">
            <w:pPr>
              <w:widowControl/>
              <w:snapToGrid w:val="0"/>
              <w:spacing w:before="156" w:before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4561" w:type="dxa"/>
          </w:tcPr>
          <w:p w14:paraId="63D50791">
            <w:pPr>
              <w:widowControl/>
              <w:snapToGrid w:val="0"/>
              <w:spacing w:before="156" w:beforeLines="50"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直流针座</w:t>
            </w:r>
          </w:p>
        </w:tc>
        <w:tc>
          <w:tcPr>
            <w:tcW w:w="1872" w:type="dxa"/>
          </w:tcPr>
          <w:p w14:paraId="7E902176">
            <w:pPr>
              <w:widowControl/>
              <w:snapToGrid w:val="0"/>
              <w:spacing w:before="156" w:beforeLines="50"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624" w:type="dxa"/>
          </w:tcPr>
          <w:p w14:paraId="7A60A4B9">
            <w:pPr>
              <w:widowControl/>
              <w:snapToGrid w:val="0"/>
              <w:spacing w:before="156" w:beforeLines="50"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r w14:paraId="1982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456" w:type="dxa"/>
          </w:tcPr>
          <w:p w14:paraId="4F4147AB">
            <w:pPr>
              <w:widowControl/>
              <w:snapToGrid w:val="0"/>
              <w:spacing w:before="156" w:beforeLines="5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4561" w:type="dxa"/>
          </w:tcPr>
          <w:p w14:paraId="16673DD8">
            <w:pPr>
              <w:widowControl/>
              <w:snapToGrid w:val="0"/>
              <w:spacing w:before="156" w:beforeLines="50"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射频针座</w:t>
            </w:r>
          </w:p>
        </w:tc>
        <w:tc>
          <w:tcPr>
            <w:tcW w:w="1872" w:type="dxa"/>
          </w:tcPr>
          <w:p w14:paraId="11BC4F54">
            <w:pPr>
              <w:widowControl/>
              <w:snapToGrid w:val="0"/>
              <w:spacing w:before="156" w:beforeLines="50"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624" w:type="dxa"/>
          </w:tcPr>
          <w:p w14:paraId="003C046A">
            <w:pPr>
              <w:widowControl/>
              <w:snapToGrid w:val="0"/>
              <w:spacing w:before="156" w:beforeLines="50"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r>
    </w:tbl>
    <w:p w14:paraId="2B72A97B">
      <w:pPr>
        <w:widowControl/>
        <w:snapToGrid w:val="0"/>
        <w:spacing w:before="156" w:beforeLines="50" w:after="156" w:afterLines="50"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2、技术性能指标表</w:t>
      </w:r>
    </w:p>
    <w:tbl>
      <w:tblPr>
        <w:tblStyle w:val="9"/>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8"/>
        <w:gridCol w:w="1051"/>
        <w:gridCol w:w="749"/>
        <w:gridCol w:w="7130"/>
      </w:tblGrid>
      <w:tr w14:paraId="5434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atLeast"/>
        </w:trPr>
        <w:tc>
          <w:tcPr>
            <w:tcW w:w="608" w:type="dxa"/>
            <w:vAlign w:val="center"/>
          </w:tcPr>
          <w:p w14:paraId="68DCAF00">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编号</w:t>
            </w:r>
          </w:p>
        </w:tc>
        <w:tc>
          <w:tcPr>
            <w:tcW w:w="1051" w:type="dxa"/>
            <w:vAlign w:val="center"/>
          </w:tcPr>
          <w:p w14:paraId="753284D0">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招标技术指标名称</w:t>
            </w:r>
          </w:p>
        </w:tc>
        <w:tc>
          <w:tcPr>
            <w:tcW w:w="7879" w:type="dxa"/>
            <w:gridSpan w:val="2"/>
            <w:vAlign w:val="center"/>
          </w:tcPr>
          <w:p w14:paraId="2E1E1C65">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招标技术指标值</w:t>
            </w:r>
          </w:p>
        </w:tc>
      </w:tr>
      <w:tr w14:paraId="5D16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08" w:type="dxa"/>
            <w:vAlign w:val="center"/>
          </w:tcPr>
          <w:p w14:paraId="6DD0546C">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51" w:type="dxa"/>
            <w:vAlign w:val="center"/>
          </w:tcPr>
          <w:p w14:paraId="6C43B515">
            <w:pPr>
              <w:widowControl/>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应用范围和要求</w:t>
            </w:r>
          </w:p>
        </w:tc>
        <w:tc>
          <w:tcPr>
            <w:tcW w:w="7879" w:type="dxa"/>
            <w:gridSpan w:val="2"/>
            <w:vAlign w:val="center"/>
          </w:tcPr>
          <w:p w14:paraId="1C2917A2">
            <w:pPr>
              <w:widowControl/>
              <w:spacing w:line="360" w:lineRule="auto"/>
              <w:ind w:firstLine="0" w:firstLineChars="0"/>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用于测试半导体器件的电气性能，包括电流、电压和功耗等。用于提取器件模型参数，以便于后续的电路设计和仿真。用于诊断和分析器件的故障。</w:t>
            </w:r>
          </w:p>
          <w:p w14:paraId="7C86DE9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在生产过程中对每个器件进行质量控制和合格性测试。</w:t>
            </w:r>
          </w:p>
        </w:tc>
      </w:tr>
      <w:tr w14:paraId="1F86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08" w:type="dxa"/>
            <w:vMerge w:val="restart"/>
            <w:vAlign w:val="center"/>
          </w:tcPr>
          <w:p w14:paraId="33D76B16">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051" w:type="dxa"/>
            <w:vMerge w:val="restart"/>
            <w:vAlign w:val="center"/>
          </w:tcPr>
          <w:p w14:paraId="6A33F937">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性能指标</w:t>
            </w:r>
          </w:p>
        </w:tc>
        <w:tc>
          <w:tcPr>
            <w:tcW w:w="7879" w:type="dxa"/>
            <w:gridSpan w:val="2"/>
            <w:vAlign w:val="center"/>
          </w:tcPr>
          <w:p w14:paraId="66ECA51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8吋半自动探针台</w:t>
            </w:r>
          </w:p>
        </w:tc>
      </w:tr>
      <w:tr w14:paraId="32B4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08" w:type="dxa"/>
            <w:vMerge w:val="continue"/>
            <w:vAlign w:val="center"/>
          </w:tcPr>
          <w:p w14:paraId="05522C56">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3C7B8D66">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6AEC57B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130" w:type="dxa"/>
            <w:vAlign w:val="center"/>
          </w:tcPr>
          <w:p w14:paraId="07ED391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操作类型：半自动</w:t>
            </w:r>
          </w:p>
        </w:tc>
      </w:tr>
      <w:tr w14:paraId="548E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7" w:hRule="atLeast"/>
        </w:trPr>
        <w:tc>
          <w:tcPr>
            <w:tcW w:w="608" w:type="dxa"/>
            <w:vMerge w:val="continue"/>
            <w:vAlign w:val="center"/>
          </w:tcPr>
          <w:p w14:paraId="55A92375">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54C22EC5">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388931A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130" w:type="dxa"/>
            <w:vAlign w:val="center"/>
          </w:tcPr>
          <w:p w14:paraId="0242B7B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支持晶圆尺寸：最大支持8英寸晶圆测试，向下兼容</w:t>
            </w:r>
          </w:p>
        </w:tc>
      </w:tr>
      <w:tr w14:paraId="2563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608" w:type="dxa"/>
            <w:vMerge w:val="continue"/>
            <w:vAlign w:val="center"/>
          </w:tcPr>
          <w:p w14:paraId="69AE0313">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53B8E1B8">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76B8264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p>
        </w:tc>
        <w:tc>
          <w:tcPr>
            <w:tcW w:w="7130" w:type="dxa"/>
            <w:vAlign w:val="center"/>
          </w:tcPr>
          <w:p w14:paraId="11A2961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载物台XY移动范围：≥200mm*200mm ；XY重复精度：≤1.5µm, .XY分辨率：0.2µm；XY移动速度：≥100mm/s</w:t>
            </w:r>
          </w:p>
        </w:tc>
      </w:tr>
      <w:tr w14:paraId="0EF8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608" w:type="dxa"/>
            <w:vMerge w:val="continue"/>
            <w:vAlign w:val="center"/>
          </w:tcPr>
          <w:p w14:paraId="47D545F8">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5BEA09D8">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3C8879A3">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4</w:t>
            </w:r>
          </w:p>
        </w:tc>
        <w:tc>
          <w:tcPr>
            <w:tcW w:w="7130" w:type="dxa"/>
            <w:vAlign w:val="center"/>
          </w:tcPr>
          <w:p w14:paraId="5AAF37B5">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载物台Z方向移动范围：35mm; Z重复性≤1µm，分辨率：1µm</w:t>
            </w:r>
          </w:p>
        </w:tc>
      </w:tr>
      <w:tr w14:paraId="01A0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608" w:type="dxa"/>
            <w:vMerge w:val="continue"/>
            <w:vAlign w:val="center"/>
          </w:tcPr>
          <w:p w14:paraId="78BB6C97">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4941E2FA">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7FAD700D">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5</w:t>
            </w:r>
          </w:p>
        </w:tc>
        <w:tc>
          <w:tcPr>
            <w:tcW w:w="7130" w:type="dxa"/>
            <w:vAlign w:val="center"/>
          </w:tcPr>
          <w:p w14:paraId="3BB09DC1">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载物台Θ方向移动范围：±7.5°; Θ重复性≤1.5µm，分辨率：0.5µm</w:t>
            </w:r>
          </w:p>
        </w:tc>
      </w:tr>
      <w:tr w14:paraId="0192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608" w:type="dxa"/>
            <w:vMerge w:val="continue"/>
            <w:vAlign w:val="center"/>
          </w:tcPr>
          <w:p w14:paraId="5234033A">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306CBBFC">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56748C4F">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6</w:t>
            </w:r>
          </w:p>
        </w:tc>
        <w:tc>
          <w:tcPr>
            <w:tcW w:w="7130" w:type="dxa"/>
            <w:vAlign w:val="center"/>
          </w:tcPr>
          <w:p w14:paraId="5037A3C4">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电磁屏蔽性能≥ 20 dB 0.5-20 GHz</w:t>
            </w:r>
          </w:p>
        </w:tc>
      </w:tr>
      <w:tr w14:paraId="1257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608" w:type="dxa"/>
            <w:vMerge w:val="continue"/>
            <w:vAlign w:val="center"/>
          </w:tcPr>
          <w:p w14:paraId="6A6E0154">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1935E928">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443E6937">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7</w:t>
            </w:r>
          </w:p>
        </w:tc>
        <w:tc>
          <w:tcPr>
            <w:tcW w:w="7130" w:type="dxa"/>
            <w:vAlign w:val="center"/>
          </w:tcPr>
          <w:p w14:paraId="295739F9">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光谱噪声≤ -150 dBVrms/rtHz (≤ 1 MHz) （室温）</w:t>
            </w:r>
          </w:p>
        </w:tc>
      </w:tr>
      <w:tr w14:paraId="1036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608" w:type="dxa"/>
            <w:vMerge w:val="continue"/>
            <w:vAlign w:val="center"/>
          </w:tcPr>
          <w:p w14:paraId="40AD6F8E">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589D79BE">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2C546217">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8</w:t>
            </w:r>
          </w:p>
        </w:tc>
        <w:tc>
          <w:tcPr>
            <w:tcW w:w="7130" w:type="dxa"/>
            <w:vAlign w:val="center"/>
          </w:tcPr>
          <w:p w14:paraId="3C43CDB2">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系统AC噪声≤</w:t>
            </w:r>
            <w:r>
              <w:rPr>
                <w:rFonts w:ascii="宋体" w:hAnsi="宋体" w:eastAsia="宋体" w:cs="宋体"/>
                <w:bCs/>
                <w:color w:val="000000" w:themeColor="text1"/>
                <w:kern w:val="0"/>
                <w:sz w:val="24"/>
                <w:szCs w:val="24"/>
                <w:highlight w:val="none"/>
                <w14:textFill>
                  <w14:solidFill>
                    <w14:schemeClr w14:val="tx1"/>
                  </w14:solidFill>
                </w14:textFill>
              </w:rPr>
              <w:t xml:space="preserve"> 15 mVp-p (</w:t>
            </w:r>
            <w:r>
              <w:rPr>
                <w:rFonts w:hint="eastAsia" w:ascii="宋体" w:hAnsi="宋体" w:eastAsia="宋体" w:cs="宋体"/>
                <w:bCs/>
                <w:color w:val="000000" w:themeColor="text1"/>
                <w:kern w:val="0"/>
                <w:sz w:val="24"/>
                <w:szCs w:val="24"/>
                <w:highlight w:val="none"/>
                <w14:textFill>
                  <w14:solidFill>
                    <w14:schemeClr w14:val="tx1"/>
                  </w14:solidFill>
                </w14:textFill>
              </w:rPr>
              <w:t>≤</w:t>
            </w:r>
            <w:r>
              <w:rPr>
                <w:rFonts w:ascii="宋体" w:hAnsi="宋体" w:eastAsia="宋体" w:cs="宋体"/>
                <w:bCs/>
                <w:color w:val="000000" w:themeColor="text1"/>
                <w:kern w:val="0"/>
                <w:sz w:val="24"/>
                <w:szCs w:val="24"/>
                <w:highlight w:val="none"/>
                <w14:textFill>
                  <w14:solidFill>
                    <w14:schemeClr w14:val="tx1"/>
                  </w14:solidFill>
                </w14:textFill>
              </w:rPr>
              <w:t xml:space="preserve"> 1 GHz)</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（室温）</w:t>
            </w:r>
          </w:p>
        </w:tc>
      </w:tr>
      <w:tr w14:paraId="2439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trPr>
        <w:tc>
          <w:tcPr>
            <w:tcW w:w="608" w:type="dxa"/>
            <w:vMerge w:val="continue"/>
            <w:vAlign w:val="center"/>
          </w:tcPr>
          <w:p w14:paraId="470E88B7">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139FB7EA">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715F40E8">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★9</w:t>
            </w:r>
          </w:p>
        </w:tc>
        <w:tc>
          <w:tcPr>
            <w:tcW w:w="7130" w:type="dxa"/>
            <w:vAlign w:val="center"/>
          </w:tcPr>
          <w:p w14:paraId="6E49E742">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探针漏电≤ 1 fA</w:t>
            </w:r>
          </w:p>
        </w:tc>
      </w:tr>
      <w:tr w14:paraId="647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 w:hRule="atLeast"/>
        </w:trPr>
        <w:tc>
          <w:tcPr>
            <w:tcW w:w="608" w:type="dxa"/>
            <w:vMerge w:val="continue"/>
            <w:vAlign w:val="center"/>
          </w:tcPr>
          <w:p w14:paraId="032C8AC5">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5ED44DDA">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11BB9D6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7130" w:type="dxa"/>
            <w:vAlign w:val="center"/>
          </w:tcPr>
          <w:p w14:paraId="659371C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一体式气浮隔振系统，可一键360°全量程大范围移动。</w:t>
            </w:r>
          </w:p>
        </w:tc>
      </w:tr>
      <w:tr w14:paraId="1440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 w:hRule="atLeast"/>
        </w:trPr>
        <w:tc>
          <w:tcPr>
            <w:tcW w:w="608" w:type="dxa"/>
            <w:vMerge w:val="continue"/>
            <w:vAlign w:val="center"/>
          </w:tcPr>
          <w:p w14:paraId="1B10FB2C">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758080E7">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5DDE076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★11</w:t>
            </w:r>
          </w:p>
        </w:tc>
        <w:tc>
          <w:tcPr>
            <w:tcW w:w="7130" w:type="dxa"/>
            <w:vAlign w:val="center"/>
          </w:tcPr>
          <w:p w14:paraId="29CF641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载物台快速拉出装置，保证载物台可从腔体中拉出90%以上，方便取放被测件</w:t>
            </w:r>
          </w:p>
        </w:tc>
      </w:tr>
      <w:tr w14:paraId="1CC6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 w:hRule="atLeast"/>
        </w:trPr>
        <w:tc>
          <w:tcPr>
            <w:tcW w:w="608" w:type="dxa"/>
            <w:vMerge w:val="continue"/>
            <w:vAlign w:val="center"/>
          </w:tcPr>
          <w:p w14:paraId="42861D69">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2E230B21">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116EBD7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12</w:t>
            </w:r>
          </w:p>
        </w:tc>
        <w:tc>
          <w:tcPr>
            <w:tcW w:w="7130" w:type="dxa"/>
            <w:vAlign w:val="center"/>
          </w:tcPr>
          <w:p w14:paraId="60684FB5">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高性能电子显微镜：搭配20MP成像传感器；智能碰撞保护功能，防止物镜与机台上其他物体发生碰撞；支持多视窗、多倍率观察功能</w:t>
            </w:r>
          </w:p>
        </w:tc>
      </w:tr>
      <w:tr w14:paraId="2DFA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 w:hRule="atLeast"/>
        </w:trPr>
        <w:tc>
          <w:tcPr>
            <w:tcW w:w="608" w:type="dxa"/>
            <w:vMerge w:val="continue"/>
            <w:vAlign w:val="center"/>
          </w:tcPr>
          <w:p w14:paraId="37E455AE">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4DB7B58C">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1BBCA4B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7130" w:type="dxa"/>
            <w:vAlign w:val="center"/>
          </w:tcPr>
          <w:p w14:paraId="504430FB">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配件要求：</w:t>
            </w:r>
          </w:p>
          <w:p w14:paraId="04D6757B">
            <w:pPr>
              <w:pStyle w:val="2"/>
              <w:numPr>
                <w:ilvl w:val="0"/>
                <w:numId w:val="1"/>
              </w:numPr>
              <w:ind w:firstLineChars="0"/>
              <w:rPr>
                <w:rFonts w:cs="宋体"/>
                <w:bCs/>
                <w:color w:val="000000" w:themeColor="text1"/>
                <w:kern w:val="0"/>
                <w:sz w:val="24"/>
                <w:szCs w:val="24"/>
                <w:highlight w:val="none"/>
                <w14:textFill>
                  <w14:solidFill>
                    <w14:schemeClr w14:val="tx1"/>
                  </w14:solidFill>
                </w14:textFill>
              </w:rPr>
            </w:pPr>
            <w:r>
              <w:rPr>
                <w:rFonts w:cs="宋体"/>
                <w:bCs/>
                <w:color w:val="000000" w:themeColor="text1"/>
                <w:kern w:val="0"/>
                <w:sz w:val="24"/>
                <w:szCs w:val="24"/>
                <w:highlight w:val="none"/>
                <w14:textFill>
                  <w14:solidFill>
                    <w14:schemeClr w14:val="tx1"/>
                  </w14:solidFill>
                </w14:textFill>
              </w:rPr>
              <w:t>直流开尔文针座4套，磁吸，XYZ方向移动行程12mm*12mm*12mm，特征分辨率≤1µm</w:t>
            </w:r>
          </w:p>
          <w:p w14:paraId="11CA7199">
            <w:pPr>
              <w:pStyle w:val="2"/>
              <w:numPr>
                <w:ilvl w:val="0"/>
                <w:numId w:val="1"/>
              </w:numPr>
              <w:ind w:firstLineChars="0"/>
              <w:rPr>
                <w:rFonts w:cs="宋体"/>
                <w:bCs/>
                <w:color w:val="000000" w:themeColor="text1"/>
                <w:kern w:val="0"/>
                <w:sz w:val="24"/>
                <w:szCs w:val="24"/>
                <w:highlight w:val="none"/>
                <w14:textFill>
                  <w14:solidFill>
                    <w14:schemeClr w14:val="tx1"/>
                  </w14:solidFill>
                </w14:textFill>
              </w:rPr>
            </w:pPr>
            <w:r>
              <w:rPr>
                <w:rFonts w:cs="宋体"/>
                <w:bCs/>
                <w:color w:val="000000" w:themeColor="text1"/>
                <w:kern w:val="0"/>
                <w:sz w:val="24"/>
                <w:szCs w:val="24"/>
                <w:highlight w:val="none"/>
                <w14:textFill>
                  <w14:solidFill>
                    <w14:schemeClr w14:val="tx1"/>
                  </w14:solidFill>
                </w14:textFill>
              </w:rPr>
              <w:t>直流探针10支，针尖直径5微米</w:t>
            </w:r>
          </w:p>
          <w:p w14:paraId="664A8F32">
            <w:pPr>
              <w:pStyle w:val="2"/>
              <w:numPr>
                <w:ilvl w:val="0"/>
                <w:numId w:val="1"/>
              </w:numPr>
              <w:ind w:firstLineChars="0"/>
              <w:rPr>
                <w:rFonts w:cs="宋体"/>
                <w:bCs/>
                <w:color w:val="000000" w:themeColor="text1"/>
                <w:kern w:val="0"/>
                <w:sz w:val="24"/>
                <w:szCs w:val="24"/>
                <w:highlight w:val="none"/>
                <w14:textFill>
                  <w14:solidFill>
                    <w14:schemeClr w14:val="tx1"/>
                  </w14:solidFill>
                </w14:textFill>
              </w:rPr>
            </w:pPr>
            <w:r>
              <w:rPr>
                <w:rFonts w:cs="宋体"/>
                <w:bCs/>
                <w:color w:val="000000" w:themeColor="text1"/>
                <w:kern w:val="0"/>
                <w:sz w:val="24"/>
                <w:szCs w:val="24"/>
                <w:highlight w:val="none"/>
                <w14:textFill>
                  <w14:solidFill>
                    <w14:schemeClr w14:val="tx1"/>
                  </w14:solidFill>
                </w14:textFill>
              </w:rPr>
              <w:t>低噪声三轴线缆8根</w:t>
            </w:r>
          </w:p>
          <w:p w14:paraId="2F06ABD6">
            <w:pPr>
              <w:pStyle w:val="2"/>
              <w:numPr>
                <w:ilvl w:val="0"/>
                <w:numId w:val="1"/>
              </w:numPr>
              <w:ind w:firstLineChars="0"/>
              <w:rPr>
                <w:rFonts w:cs="宋体"/>
                <w:bCs/>
                <w:color w:val="000000" w:themeColor="text1"/>
                <w:kern w:val="0"/>
                <w:sz w:val="24"/>
                <w:szCs w:val="24"/>
                <w:highlight w:val="none"/>
                <w14:textFill>
                  <w14:solidFill>
                    <w14:schemeClr w14:val="tx1"/>
                  </w14:solidFill>
                </w14:textFill>
              </w:rPr>
            </w:pPr>
            <w:r>
              <w:rPr>
                <w:rFonts w:cs="宋体"/>
                <w:bCs/>
                <w:color w:val="000000" w:themeColor="text1"/>
                <w:kern w:val="0"/>
                <w:sz w:val="24"/>
                <w:szCs w:val="24"/>
                <w:highlight w:val="none"/>
                <w14:textFill>
                  <w14:solidFill>
                    <w14:schemeClr w14:val="tx1"/>
                  </w14:solidFill>
                </w14:textFill>
              </w:rPr>
              <w:t>射频针座两个，磁吸，XYZ方向移动行程12mm*12mm*12mm，特征分辨率≤1µm</w:t>
            </w:r>
          </w:p>
        </w:tc>
      </w:tr>
      <w:tr w14:paraId="3485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 w:hRule="atLeast"/>
        </w:trPr>
        <w:tc>
          <w:tcPr>
            <w:tcW w:w="608" w:type="dxa"/>
            <w:vMerge w:val="continue"/>
            <w:vAlign w:val="center"/>
          </w:tcPr>
          <w:p w14:paraId="0DDDC2FB">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0F8DD83A">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4FACCFA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14</w:t>
            </w:r>
          </w:p>
        </w:tc>
        <w:tc>
          <w:tcPr>
            <w:tcW w:w="7130" w:type="dxa"/>
            <w:vAlign w:val="center"/>
          </w:tcPr>
          <w:p w14:paraId="1ED38098">
            <w:pPr>
              <w:pStyle w:val="12"/>
              <w:spacing w:before="125"/>
              <w:ind w:left="84" w:right="62"/>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t>控制系统：</w:t>
            </w:r>
          </w:p>
          <w:p w14:paraId="32F917C5">
            <w:pPr>
              <w:pStyle w:val="12"/>
              <w:numPr>
                <w:ilvl w:val="0"/>
                <w:numId w:val="2"/>
              </w:numPr>
              <w:spacing w:before="125"/>
              <w:ind w:right="62"/>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t>采用Win 10操作系统，12G RAM, 256GB软件运行空间，1TB固态硬盘数据存储空间</w:t>
            </w:r>
          </w:p>
          <w:p w14:paraId="19119E29">
            <w:pPr>
              <w:pStyle w:val="12"/>
              <w:numPr>
                <w:ilvl w:val="0"/>
                <w:numId w:val="2"/>
              </w:numPr>
              <w:spacing w:before="125"/>
              <w:ind w:right="62"/>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t>支持wafer map建立</w:t>
            </w:r>
          </w:p>
          <w:p w14:paraId="53ED4A35">
            <w:pPr>
              <w:pStyle w:val="12"/>
              <w:numPr>
                <w:ilvl w:val="0"/>
                <w:numId w:val="2"/>
              </w:numPr>
              <w:spacing w:before="125"/>
              <w:ind w:right="62"/>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t>支持Die，Sub-Die建立</w:t>
            </w:r>
          </w:p>
          <w:p w14:paraId="5144BFC0">
            <w:pPr>
              <w:pStyle w:val="12"/>
              <w:numPr>
                <w:ilvl w:val="0"/>
                <w:numId w:val="2"/>
              </w:numPr>
              <w:spacing w:before="125"/>
              <w:ind w:right="62"/>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t>支持创建大尺寸Die的缩放图，方便移动探针到目标区域</w:t>
            </w:r>
          </w:p>
          <w:p w14:paraId="33A74EC7">
            <w:pPr>
              <w:pStyle w:val="12"/>
              <w:numPr>
                <w:ilvl w:val="0"/>
                <w:numId w:val="2"/>
              </w:numPr>
              <w:spacing w:before="125"/>
              <w:ind w:right="62"/>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bidi="ar-SA"/>
                <w14:textFill>
                  <w14:solidFill>
                    <w14:schemeClr w14:val="tx1"/>
                  </w14:solidFill>
                </w14:textFill>
              </w:rPr>
              <w:t>支持快速自动对准</w:t>
            </w:r>
          </w:p>
        </w:tc>
      </w:tr>
      <w:tr w14:paraId="2120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 w:hRule="atLeast"/>
        </w:trPr>
        <w:tc>
          <w:tcPr>
            <w:tcW w:w="608" w:type="dxa"/>
            <w:vMerge w:val="continue"/>
            <w:vAlign w:val="center"/>
          </w:tcPr>
          <w:p w14:paraId="42F3166E">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vMerge w:val="continue"/>
            <w:vAlign w:val="center"/>
          </w:tcPr>
          <w:p w14:paraId="02B04139">
            <w:pPr>
              <w:widowControl/>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p>
        </w:tc>
        <w:tc>
          <w:tcPr>
            <w:tcW w:w="749" w:type="dxa"/>
            <w:vAlign w:val="center"/>
          </w:tcPr>
          <w:p w14:paraId="3EC2D13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15</w:t>
            </w:r>
          </w:p>
        </w:tc>
        <w:tc>
          <w:tcPr>
            <w:tcW w:w="7130" w:type="dxa"/>
            <w:vAlign w:val="center"/>
          </w:tcPr>
          <w:p w14:paraId="66EA3AA5">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空压泵需求：超静音，无油设计，流量70升/分钟 @ 6巴</w:t>
            </w:r>
          </w:p>
          <w:p w14:paraId="52E11CF3">
            <w:pPr>
              <w:spacing w:line="360" w:lineRule="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真空泵需求：超静音，无油设计，0.7/0.85 m³/h（50/60Hz）@真空100毫巴</w:t>
            </w:r>
          </w:p>
        </w:tc>
      </w:tr>
    </w:tbl>
    <w:p w14:paraId="31A71AAE">
      <w:pPr>
        <w:pStyle w:val="8"/>
        <w:spacing w:line="360" w:lineRule="auto"/>
        <w:ind w:left="142" w:right="708" w:rightChars="337"/>
        <w:jc w:val="both"/>
        <w:outlineLvl w:val="9"/>
        <w:rPr>
          <w:rFonts w:hint="eastAsia" w:ascii="宋体" w:hAnsi="宋体" w:eastAsia="宋体" w:cs="宋体"/>
          <w:color w:val="000000" w:themeColor="text1"/>
          <w:sz w:val="24"/>
          <w:szCs w:val="24"/>
          <w:highlight w:val="none"/>
          <w14:textFill>
            <w14:solidFill>
              <w14:schemeClr w14:val="tx1"/>
            </w14:solidFill>
          </w14:textFill>
        </w:rPr>
      </w:pPr>
    </w:p>
    <w:p w14:paraId="1C0E721D">
      <w:pPr>
        <w:pStyle w:val="8"/>
        <w:spacing w:line="360" w:lineRule="auto"/>
        <w:ind w:left="142" w:right="708" w:rightChars="337"/>
        <w:jc w:val="both"/>
        <w:outlineLvl w:val="9"/>
        <w:rPr>
          <w:rFonts w:hint="eastAsia" w:ascii="宋体" w:hAnsi="宋体" w:eastAsia="宋体" w:cs="宋体"/>
          <w:color w:val="000000" w:themeColor="text1"/>
          <w:sz w:val="24"/>
          <w:szCs w:val="24"/>
          <w:highlight w:val="none"/>
          <w14:textFill>
            <w14:solidFill>
              <w14:schemeClr w14:val="tx1"/>
            </w14:solidFill>
          </w14:textFill>
        </w:rPr>
      </w:pPr>
    </w:p>
    <w:p w14:paraId="620DB380">
      <w:pPr>
        <w:pStyle w:val="8"/>
        <w:spacing w:line="360" w:lineRule="auto"/>
        <w:ind w:left="142" w:right="708" w:rightChars="33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（二）商务要求：</w:t>
      </w:r>
    </w:p>
    <w:p w14:paraId="42AC1914">
      <w:pPr>
        <w:numPr>
          <w:ilvl w:val="0"/>
          <w:numId w:val="3"/>
        </w:numPr>
        <w:autoSpaceDE w:val="0"/>
        <w:autoSpaceDN w:val="0"/>
        <w:adjustRightInd w:val="0"/>
        <w:spacing w:line="360" w:lineRule="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★交货地点：</w:t>
      </w:r>
      <w:r>
        <w:rPr>
          <w:rFonts w:hint="eastAsia" w:ascii="宋体" w:hAnsi="宋体" w:eastAsia="宋体" w:cs="宋体"/>
          <w:color w:val="000000" w:themeColor="text1"/>
          <w:kern w:val="0"/>
          <w:sz w:val="24"/>
          <w:szCs w:val="24"/>
          <w:highlight w:val="none"/>
          <w14:textFill>
            <w14:solidFill>
              <w14:schemeClr w14:val="tx1"/>
            </w14:solidFill>
          </w14:textFill>
        </w:rPr>
        <w:t>采购人</w:t>
      </w:r>
      <w:r>
        <w:rPr>
          <w:rFonts w:hint="eastAsia" w:ascii="宋体" w:hAnsi="宋体" w:eastAsia="宋体" w:cs="宋体"/>
          <w:color w:val="000000" w:themeColor="text1"/>
          <w:kern w:val="0"/>
          <w:sz w:val="24"/>
          <w:szCs w:val="24"/>
          <w:highlight w:val="none"/>
          <w:lang w:val="zh-CN"/>
          <w14:textFill>
            <w14:solidFill>
              <w14:schemeClr w14:val="tx1"/>
            </w14:solidFill>
          </w14:textFill>
        </w:rPr>
        <w:t>指定地点</w:t>
      </w:r>
    </w:p>
    <w:p w14:paraId="5F4AFD77">
      <w:pPr>
        <w:numPr>
          <w:ilvl w:val="0"/>
          <w:numId w:val="3"/>
        </w:numPr>
        <w:tabs>
          <w:tab w:val="left" w:pos="420"/>
        </w:tabs>
        <w:autoSpaceDE w:val="0"/>
        <w:autoSpaceDN w:val="0"/>
        <w:adjustRightInd w:val="0"/>
        <w:spacing w:line="360" w:lineRule="auto"/>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★交货期：</w:t>
      </w:r>
      <w:r>
        <w:rPr>
          <w:rFonts w:hint="eastAsia" w:ascii="宋体" w:hAnsi="宋体" w:eastAsia="宋体" w:cs="宋体"/>
          <w:color w:val="000000" w:themeColor="text1"/>
          <w:kern w:val="0"/>
          <w:sz w:val="24"/>
          <w:szCs w:val="24"/>
          <w:highlight w:val="none"/>
          <w:lang w:val="de-DE"/>
          <w14:textFill>
            <w14:solidFill>
              <w14:schemeClr w14:val="tx1"/>
            </w14:solidFill>
          </w14:textFill>
        </w:rPr>
        <w:t>合同签订后的</w:t>
      </w:r>
      <w:r>
        <w:rPr>
          <w:rFonts w:hint="eastAsia" w:ascii="宋体" w:hAnsi="宋体" w:eastAsia="宋体" w:cs="宋体"/>
          <w:color w:val="000000" w:themeColor="text1"/>
          <w:kern w:val="0"/>
          <w:sz w:val="24"/>
          <w:szCs w:val="24"/>
          <w:highlight w:val="none"/>
          <w14:textFill>
            <w14:solidFill>
              <w14:schemeClr w14:val="tx1"/>
            </w14:solidFill>
          </w14:textFill>
        </w:rPr>
        <w:t>6个月</w:t>
      </w:r>
      <w:r>
        <w:rPr>
          <w:rFonts w:hint="eastAsia" w:ascii="宋体" w:hAnsi="宋体" w:eastAsia="宋体" w:cs="宋体"/>
          <w:color w:val="000000" w:themeColor="text1"/>
          <w:kern w:val="0"/>
          <w:sz w:val="24"/>
          <w:szCs w:val="24"/>
          <w:highlight w:val="none"/>
          <w:lang w:val="de-DE"/>
          <w14:textFill>
            <w14:solidFill>
              <w14:schemeClr w14:val="tx1"/>
            </w14:solidFill>
          </w14:textFill>
        </w:rPr>
        <w:t>内</w:t>
      </w:r>
      <w:r>
        <w:rPr>
          <w:rFonts w:hint="eastAsia" w:ascii="宋体" w:hAnsi="宋体" w:eastAsia="宋体" w:cs="宋体"/>
          <w:color w:val="000000" w:themeColor="text1"/>
          <w:kern w:val="0"/>
          <w:sz w:val="24"/>
          <w:szCs w:val="24"/>
          <w:highlight w:val="none"/>
          <w:lang w:val="zh-CN"/>
          <w14:textFill>
            <w14:solidFill>
              <w14:schemeClr w14:val="tx1"/>
            </w14:solidFill>
          </w14:textFill>
        </w:rPr>
        <w:t>交货。</w:t>
      </w:r>
    </w:p>
    <w:p w14:paraId="5AEA98F8">
      <w:pPr>
        <w:numPr>
          <w:ilvl w:val="0"/>
          <w:numId w:val="3"/>
        </w:numPr>
        <w:tabs>
          <w:tab w:val="left" w:pos="420"/>
        </w:tabs>
        <w:autoSpaceDE w:val="0"/>
        <w:autoSpaceDN w:val="0"/>
        <w:adjustRightInd w:val="0"/>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★报价方式及要求：</w:t>
      </w:r>
    </w:p>
    <w:p w14:paraId="74FB3AA8">
      <w:pPr>
        <w:numPr>
          <w:ilvl w:val="0"/>
          <w:numId w:val="4"/>
        </w:numPr>
        <w:tabs>
          <w:tab w:val="left" w:pos="420"/>
          <w:tab w:val="clear" w:pos="312"/>
        </w:tabs>
        <w:autoSpaceDE w:val="0"/>
        <w:autoSpaceDN w:val="0"/>
        <w:adjustRightInd w:val="0"/>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本项目允许采购进口产品参与投标，不拒绝投标人选用国产产品参与投标（进口产品是指通过中国海关报关验放进入中国境内且产自关境外的产品）</w:t>
      </w:r>
    </w:p>
    <w:p w14:paraId="7294739F">
      <w:pPr>
        <w:numPr>
          <w:ilvl w:val="0"/>
          <w:numId w:val="4"/>
        </w:numPr>
        <w:tabs>
          <w:tab w:val="left" w:pos="426"/>
          <w:tab w:val="clear" w:pos="312"/>
        </w:tabs>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国产</w:t>
      </w:r>
      <w:r>
        <w:rPr>
          <w:rFonts w:hint="eastAsia" w:ascii="宋体" w:hAnsi="宋体" w:eastAsia="宋体" w:cs="宋体"/>
          <w:sz w:val="24"/>
          <w:szCs w:val="24"/>
          <w:highlight w:val="none"/>
        </w:rPr>
        <w:t>产品与服务报项目现场交货</w:t>
      </w:r>
      <w:r>
        <w:rPr>
          <w:rFonts w:hint="eastAsia" w:ascii="宋体" w:hAnsi="宋体" w:eastAsia="宋体" w:cs="宋体"/>
          <w:b/>
          <w:bCs/>
          <w:sz w:val="24"/>
          <w:szCs w:val="24"/>
          <w:highlight w:val="none"/>
        </w:rPr>
        <w:t>人民币含税价</w:t>
      </w:r>
      <w:r>
        <w:rPr>
          <w:rFonts w:hint="eastAsia" w:ascii="宋体" w:hAnsi="宋体" w:eastAsia="宋体" w:cs="宋体"/>
          <w:sz w:val="24"/>
          <w:szCs w:val="24"/>
          <w:highlight w:val="none"/>
        </w:rPr>
        <w:t>。投标价包含仪器设备的价款、包装、税费、运输、装卸、安装、调试、技术指导、培训、咨询、服务、保险、检测、验收合格交付使用之前以及技术和售后服务等其他各项有关费用。</w:t>
      </w:r>
    </w:p>
    <w:p w14:paraId="2A6DD5E0">
      <w:pPr>
        <w:numPr>
          <w:ilvl w:val="0"/>
          <w:numId w:val="4"/>
        </w:numPr>
        <w:tabs>
          <w:tab w:val="left" w:pos="426"/>
          <w:tab w:val="clear" w:pos="312"/>
        </w:tabs>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进口</w:t>
      </w:r>
      <w:r>
        <w:rPr>
          <w:rFonts w:hint="eastAsia" w:ascii="宋体" w:hAnsi="宋体" w:eastAsia="宋体" w:cs="宋体"/>
          <w:sz w:val="24"/>
          <w:szCs w:val="24"/>
          <w:highlight w:val="none"/>
        </w:rPr>
        <w:t>产品与服务报项目现场交货</w:t>
      </w:r>
      <w:r>
        <w:rPr>
          <w:rFonts w:hint="eastAsia" w:ascii="宋体" w:hAnsi="宋体" w:eastAsia="宋体" w:cs="宋体"/>
          <w:b/>
          <w:bCs/>
          <w:sz w:val="24"/>
          <w:szCs w:val="24"/>
          <w:highlight w:val="none"/>
        </w:rPr>
        <w:t>人民币免税价</w:t>
      </w:r>
      <w:r>
        <w:rPr>
          <w:rFonts w:hint="eastAsia" w:ascii="宋体" w:hAnsi="宋体" w:eastAsia="宋体" w:cs="宋体"/>
          <w:sz w:val="24"/>
          <w:szCs w:val="24"/>
          <w:highlight w:val="none"/>
        </w:rPr>
        <w:t>。投标价格中应包含仪器设备购置、包装运输及保险（境内、外）、装卸安装、调试、技术服务培训、检测、质保期内设备及部件故障的更换，维修、退运（境内、外）、外贸代理费、杂费等其他所有费用（运输、装卸、安装、调试、技术指导、培训、咨询、服务、保险、检测、验收合格交付使用之前以及技术和售后服务等其他各项有关费用）。 （采购人享受海关的进口设备免税优惠政策；若最终无法办理免税，所有税费由中标人承担）。汇率风险由投标人承担。</w:t>
      </w:r>
    </w:p>
    <w:p w14:paraId="01A95C1F">
      <w:pPr>
        <w:numPr>
          <w:ilvl w:val="255"/>
          <w:numId w:val="0"/>
        </w:numPr>
        <w:tabs>
          <w:tab w:val="left" w:pos="420"/>
        </w:tabs>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注：a) 若投标人所投产品产地在国家加征关税范围内的（可能产生惩罚性关税），则投标人报价中须包含此项费用，采购人不再另行支付。</w:t>
      </w:r>
    </w:p>
    <w:p w14:paraId="4FA5B9B4">
      <w:pPr>
        <w:numPr>
          <w:ilvl w:val="0"/>
          <w:numId w:val="4"/>
        </w:numPr>
        <w:tabs>
          <w:tab w:val="left" w:pos="420"/>
          <w:tab w:val="clear" w:pos="312"/>
        </w:tabs>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以低于成本的报价竞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3D20396">
      <w:pPr>
        <w:numPr>
          <w:ilvl w:val="0"/>
          <w:numId w:val="4"/>
        </w:numPr>
        <w:tabs>
          <w:tab w:val="left" w:pos="420"/>
          <w:tab w:val="clear" w:pos="312"/>
        </w:tabs>
        <w:autoSpaceDE w:val="0"/>
        <w:autoSpaceDN w:val="0"/>
        <w:adjustRightIn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投标报价不得超过采购预算（如有最高限</w:t>
      </w:r>
      <w:r>
        <w:rPr>
          <w:rFonts w:hint="eastAsia" w:ascii="宋体" w:hAnsi="宋体" w:eastAsia="宋体" w:cs="宋体"/>
          <w:color w:val="000000" w:themeColor="text1"/>
          <w:sz w:val="24"/>
          <w:szCs w:val="24"/>
          <w:highlight w:val="none"/>
          <w14:textFill>
            <w14:solidFill>
              <w14:schemeClr w14:val="tx1"/>
            </w14:solidFill>
          </w14:textFill>
        </w:rPr>
        <w:t>价则不得超出最高限价）。</w:t>
      </w:r>
    </w:p>
    <w:p w14:paraId="1958E25F">
      <w:pPr>
        <w:numPr>
          <w:ilvl w:val="0"/>
          <w:numId w:val="3"/>
        </w:numPr>
        <w:tabs>
          <w:tab w:val="left" w:pos="0"/>
        </w:tabs>
        <w:autoSpaceDE w:val="0"/>
        <w:autoSpaceDN w:val="0"/>
        <w:adjustRightInd w:val="0"/>
        <w:spacing w:line="360" w:lineRule="auto"/>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进</w:t>
      </w:r>
      <w:r>
        <w:rPr>
          <w:rFonts w:hint="eastAsia" w:ascii="宋体" w:hAnsi="宋体" w:eastAsia="宋体" w:cs="宋体"/>
          <w:b/>
          <w:bCs/>
          <w:color w:val="000000" w:themeColor="text1"/>
          <w:kern w:val="0"/>
          <w:sz w:val="24"/>
          <w:szCs w:val="24"/>
          <w:highlight w:val="none"/>
          <w:lang w:val="zh-CN"/>
          <w14:textFill>
            <w14:solidFill>
              <w14:schemeClr w14:val="tx1"/>
            </w14:solidFill>
          </w14:textFill>
        </w:rPr>
        <w:t>口产品必须提供原厂有效授权</w:t>
      </w:r>
      <w:r>
        <w:rPr>
          <w:rFonts w:hint="eastAsia" w:ascii="宋体" w:hAnsi="宋体" w:eastAsia="宋体" w:cs="宋体"/>
          <w:b/>
          <w:bCs/>
          <w:color w:val="000000" w:themeColor="text1"/>
          <w:kern w:val="0"/>
          <w:sz w:val="24"/>
          <w:szCs w:val="24"/>
          <w:highlight w:val="none"/>
          <w14:textFill>
            <w14:solidFill>
              <w14:schemeClr w14:val="tx1"/>
            </w14:solidFill>
          </w14:textFill>
        </w:rPr>
        <w:t>书。</w:t>
      </w:r>
    </w:p>
    <w:p w14:paraId="49E9D40F">
      <w:pPr>
        <w:numPr>
          <w:ilvl w:val="0"/>
          <w:numId w:val="3"/>
        </w:numPr>
        <w:tabs>
          <w:tab w:val="left" w:pos="0"/>
        </w:tabs>
        <w:autoSpaceDE w:val="0"/>
        <w:autoSpaceDN w:val="0"/>
        <w:adjustRightInd w:val="0"/>
        <w:spacing w:line="360" w:lineRule="auto"/>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★付款方式：</w:t>
      </w:r>
    </w:p>
    <w:p w14:paraId="2A792755">
      <w:pPr>
        <w:spacing w:line="360" w:lineRule="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签订合同后中标人提供合法正规发票后，采购人支付</w:t>
      </w:r>
      <w:r>
        <w:rPr>
          <w:rFonts w:hint="eastAsia" w:ascii="宋体" w:hAnsi="宋体" w:eastAsia="宋体" w:cs="宋体"/>
          <w:color w:val="000000" w:themeColor="text1"/>
          <w:sz w:val="24"/>
          <w:szCs w:val="24"/>
          <w:highlight w:val="none"/>
          <w:u w:val="single"/>
          <w14:textFill>
            <w14:solidFill>
              <w14:schemeClr w14:val="tx1"/>
            </w14:solidFill>
          </w14:textFill>
        </w:rPr>
        <w:t>50%</w:t>
      </w:r>
      <w:r>
        <w:rPr>
          <w:rFonts w:hint="eastAsia" w:ascii="宋体" w:hAnsi="宋体" w:eastAsia="宋体" w:cs="宋体"/>
          <w:color w:val="000000" w:themeColor="text1"/>
          <w:sz w:val="24"/>
          <w:szCs w:val="24"/>
          <w:highlight w:val="none"/>
          <w:lang w:val="zh-CN"/>
          <w14:textFill>
            <w14:solidFill>
              <w14:schemeClr w14:val="tx1"/>
            </w14:solidFill>
          </w14:textFill>
        </w:rPr>
        <w:t>货款，设备验收合格后，中标人提供合法正规发票采购人支付剩余</w:t>
      </w:r>
      <w:r>
        <w:rPr>
          <w:rFonts w:hint="eastAsia" w:ascii="宋体" w:hAnsi="宋体" w:eastAsia="宋体" w:cs="宋体"/>
          <w:color w:val="000000" w:themeColor="text1"/>
          <w:sz w:val="24"/>
          <w:szCs w:val="24"/>
          <w:highlight w:val="none"/>
          <w:u w:val="single"/>
          <w14:textFill>
            <w14:solidFill>
              <w14:schemeClr w14:val="tx1"/>
            </w14:solidFill>
          </w14:textFill>
        </w:rPr>
        <w:t>50%</w:t>
      </w:r>
      <w:r>
        <w:rPr>
          <w:rFonts w:hint="eastAsia" w:ascii="宋体" w:hAnsi="宋体" w:eastAsia="宋体" w:cs="宋体"/>
          <w:color w:val="000000" w:themeColor="text1"/>
          <w:sz w:val="24"/>
          <w:szCs w:val="24"/>
          <w:highlight w:val="none"/>
          <w:lang w:val="zh-CN"/>
          <w14:textFill>
            <w14:solidFill>
              <w14:schemeClr w14:val="tx1"/>
            </w14:solidFill>
          </w14:textFill>
        </w:rPr>
        <w:t>货款。</w:t>
      </w:r>
    </w:p>
    <w:p w14:paraId="04E6A03B">
      <w:pPr>
        <w:numPr>
          <w:ilvl w:val="0"/>
          <w:numId w:val="3"/>
        </w:numPr>
        <w:tabs>
          <w:tab w:val="left" w:pos="0"/>
        </w:tabs>
        <w:autoSpaceDE w:val="0"/>
        <w:autoSpaceDN w:val="0"/>
        <w:adjustRightInd w:val="0"/>
        <w:spacing w:line="360" w:lineRule="auto"/>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质保</w:t>
      </w:r>
      <w:r>
        <w:rPr>
          <w:rFonts w:hint="eastAsia" w:ascii="宋体" w:hAnsi="宋体" w:eastAsia="宋体" w:cs="宋体"/>
          <w:b/>
          <w:bCs/>
          <w:color w:val="000000" w:themeColor="text1"/>
          <w:kern w:val="0"/>
          <w:sz w:val="24"/>
          <w:szCs w:val="24"/>
          <w:highlight w:val="none"/>
          <w14:textFill>
            <w14:solidFill>
              <w14:schemeClr w14:val="tx1"/>
            </w14:solidFill>
          </w14:textFill>
        </w:rPr>
        <w:t>及</w:t>
      </w:r>
      <w:r>
        <w:rPr>
          <w:rFonts w:hint="eastAsia" w:ascii="宋体" w:hAnsi="宋体" w:eastAsia="宋体" w:cs="宋体"/>
          <w:b/>
          <w:bCs/>
          <w:color w:val="000000" w:themeColor="text1"/>
          <w:kern w:val="0"/>
          <w:sz w:val="24"/>
          <w:szCs w:val="24"/>
          <w:highlight w:val="none"/>
          <w:lang w:val="zh-CN"/>
          <w14:textFill>
            <w14:solidFill>
              <w14:schemeClr w14:val="tx1"/>
            </w14:solidFill>
          </w14:textFill>
        </w:rPr>
        <w:t>售后服务</w:t>
      </w:r>
      <w:r>
        <w:rPr>
          <w:rFonts w:hint="eastAsia" w:ascii="宋体" w:hAnsi="宋体" w:eastAsia="宋体" w:cs="宋体"/>
          <w:b/>
          <w:bCs/>
          <w:color w:val="000000" w:themeColor="text1"/>
          <w:kern w:val="0"/>
          <w:sz w:val="24"/>
          <w:szCs w:val="24"/>
          <w:highlight w:val="none"/>
          <w14:textFill>
            <w14:solidFill>
              <w14:schemeClr w14:val="tx1"/>
            </w14:solidFill>
          </w14:textFill>
        </w:rPr>
        <w:t>要求</w:t>
      </w: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p>
    <w:p w14:paraId="1E9D9B54">
      <w:pPr>
        <w:widowControl/>
        <w:numPr>
          <w:ilvl w:val="0"/>
          <w:numId w:val="5"/>
        </w:numPr>
        <w:tabs>
          <w:tab w:val="left" w:pos="420"/>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投标人需为本项目配备足够的售后服务力量，具有国内本地化的服务团队。</w:t>
      </w:r>
    </w:p>
    <w:p w14:paraId="1F5C9938">
      <w:pPr>
        <w:widowControl/>
        <w:numPr>
          <w:ilvl w:val="0"/>
          <w:numId w:val="5"/>
        </w:numPr>
        <w:tabs>
          <w:tab w:val="left" w:pos="420"/>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投标人售后服务响应时间：电话响应时间要求8小时内，到场响应时间要求2个工作日内（指从接到报障至到达故障现场的时间）。</w:t>
      </w:r>
    </w:p>
    <w:p w14:paraId="3E6EB98F">
      <w:pPr>
        <w:widowControl/>
        <w:numPr>
          <w:ilvl w:val="0"/>
          <w:numId w:val="5"/>
        </w:numPr>
        <w:tabs>
          <w:tab w:val="left" w:pos="420"/>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投标人免费提供技术支持热线电话，满足24小时热线服务。</w:t>
      </w:r>
    </w:p>
    <w:p w14:paraId="38D16FFA">
      <w:pPr>
        <w:widowControl/>
        <w:numPr>
          <w:ilvl w:val="0"/>
          <w:numId w:val="5"/>
        </w:numPr>
        <w:tabs>
          <w:tab w:val="left" w:pos="420"/>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投标人免费提供email技术支持，并且在24小时内回复。</w:t>
      </w:r>
    </w:p>
    <w:p w14:paraId="55C1992B">
      <w:pPr>
        <w:widowControl/>
        <w:numPr>
          <w:ilvl w:val="0"/>
          <w:numId w:val="5"/>
        </w:numPr>
        <w:tabs>
          <w:tab w:val="left" w:pos="420"/>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投标人提供仪器设备的保修期一年（保修期内免费维修并更换除消耗品以外的零部件，维修人员的路费、食宿等自理）。</w:t>
      </w:r>
    </w:p>
    <w:p w14:paraId="7F1DEE2B">
      <w:pPr>
        <w:widowControl/>
        <w:numPr>
          <w:ilvl w:val="0"/>
          <w:numId w:val="5"/>
        </w:numPr>
        <w:tabs>
          <w:tab w:val="left" w:pos="420"/>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投标人提供该设备的技术使用说明书及外购配件仪器说明书，并指导在使用该设备时的操作注意事项等。</w:t>
      </w:r>
    </w:p>
    <w:p w14:paraId="3A46E8E0">
      <w:pPr>
        <w:widowControl/>
        <w:numPr>
          <w:ilvl w:val="0"/>
          <w:numId w:val="5"/>
        </w:numPr>
        <w:tabs>
          <w:tab w:val="left" w:pos="420"/>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投标人提供配套软件三年免费升级服务。</w:t>
      </w:r>
    </w:p>
    <w:p w14:paraId="4D609997">
      <w:pPr>
        <w:widowControl/>
        <w:numPr>
          <w:ilvl w:val="0"/>
          <w:numId w:val="5"/>
        </w:numPr>
        <w:tabs>
          <w:tab w:val="left" w:pos="420"/>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投标人提供设备二次搬运（含保险）服务。</w:t>
      </w:r>
    </w:p>
    <w:p w14:paraId="0DF102E3">
      <w:pPr>
        <w:pStyle w:val="2"/>
        <w:spacing w:line="360" w:lineRule="auto"/>
        <w:ind w:firstLine="480"/>
        <w:rPr>
          <w:rFonts w:cs="宋体"/>
          <w:color w:val="000000" w:themeColor="text1"/>
          <w:sz w:val="24"/>
          <w:szCs w:val="24"/>
          <w:highlight w:val="none"/>
          <w:lang w:val="zh-CN"/>
          <w14:textFill>
            <w14:solidFill>
              <w14:schemeClr w14:val="tx1"/>
            </w14:solidFill>
          </w14:textFill>
        </w:rPr>
      </w:pPr>
    </w:p>
    <w:p w14:paraId="72086773">
      <w:pPr>
        <w:widowControl/>
        <w:numPr>
          <w:ilvl w:val="0"/>
          <w:numId w:val="3"/>
        </w:num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培训要求：</w:t>
      </w:r>
    </w:p>
    <w:p w14:paraId="47758E54">
      <w:pPr>
        <w:widowControl/>
        <w:numPr>
          <w:ilvl w:val="0"/>
          <w:numId w:val="6"/>
        </w:numPr>
        <w:tabs>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为保证投标人所提供的仪器设备安全、可靠运行，便于采购人的运行维护，必须对采购人培训合格的维护和管理人员。</w:t>
      </w:r>
    </w:p>
    <w:p w14:paraId="03E2078F">
      <w:pPr>
        <w:widowControl/>
        <w:numPr>
          <w:ilvl w:val="0"/>
          <w:numId w:val="6"/>
        </w:numPr>
        <w:tabs>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投标人负责对采购人提供至少一次现场技术培训，以便工作人员在培训后能熟练地掌握系统的维护工作，并能及时排除大部分的系统障碍。</w:t>
      </w:r>
    </w:p>
    <w:p w14:paraId="1148A0AA">
      <w:pPr>
        <w:widowControl/>
        <w:numPr>
          <w:ilvl w:val="0"/>
          <w:numId w:val="6"/>
        </w:numPr>
        <w:tabs>
          <w:tab w:val="clear" w:pos="1500"/>
        </w:tabs>
        <w:spacing w:before="156" w:beforeLines="50" w:line="360" w:lineRule="auto"/>
        <w:ind w:left="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至少一次厂家工程师到采购人现场免费培训；培训至采购人可以熟练操作为止。</w:t>
      </w:r>
    </w:p>
    <w:p w14:paraId="2A485793">
      <w:pPr>
        <w:numPr>
          <w:ilvl w:val="0"/>
          <w:numId w:val="3"/>
        </w:numPr>
        <w:tabs>
          <w:tab w:val="left" w:pos="420"/>
        </w:tabs>
        <w:autoSpaceDE w:val="0"/>
        <w:autoSpaceDN w:val="0"/>
        <w:adjustRightInd w:val="0"/>
        <w:spacing w:line="360" w:lineRule="auto"/>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运输及包装方式的要求</w:t>
      </w:r>
    </w:p>
    <w:p w14:paraId="3454769F">
      <w:pPr>
        <w:autoSpaceDE w:val="0"/>
        <w:autoSpaceDN w:val="0"/>
        <w:adjustRightInd w:val="0"/>
        <w:spacing w:line="360" w:lineRule="auto"/>
        <w:ind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设备的包装、运输由投标人负责，应使用崭新坚固的包装（标准包装），适合于空运、或陆运等长途运输方式；适合气候变化；投标人应对任何由于不当包装或防护措施不利而导致的商品损坏、损失、费用增长等后果负责。</w:t>
      </w:r>
    </w:p>
    <w:p w14:paraId="275791E6">
      <w:pPr>
        <w:numPr>
          <w:ilvl w:val="0"/>
          <w:numId w:val="3"/>
        </w:numPr>
        <w:tabs>
          <w:tab w:val="left" w:pos="420"/>
        </w:tabs>
        <w:autoSpaceDE w:val="0"/>
        <w:autoSpaceDN w:val="0"/>
        <w:adjustRightInd w:val="0"/>
        <w:spacing w:line="360" w:lineRule="auto"/>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安装、调试及验收：</w:t>
      </w:r>
    </w:p>
    <w:p w14:paraId="6584D9C0">
      <w:pPr>
        <w:pStyle w:val="2"/>
        <w:numPr>
          <w:ilvl w:val="0"/>
          <w:numId w:val="7"/>
        </w:numPr>
        <w:spacing w:line="360" w:lineRule="auto"/>
        <w:ind w:firstLineChars="0"/>
        <w:rPr>
          <w:rFonts w:cs="宋体"/>
          <w:bCs/>
          <w:color w:val="000000" w:themeColor="text1"/>
          <w:kern w:val="0"/>
          <w:sz w:val="24"/>
          <w:szCs w:val="24"/>
          <w:highlight w:val="none"/>
          <w:lang w:val="zh-CN"/>
          <w14:textFill>
            <w14:solidFill>
              <w14:schemeClr w14:val="tx1"/>
            </w14:solidFill>
          </w14:textFill>
        </w:rPr>
      </w:pPr>
      <w:r>
        <w:rPr>
          <w:rFonts w:cs="宋体"/>
          <w:bCs/>
          <w:color w:val="000000" w:themeColor="text1"/>
          <w:kern w:val="0"/>
          <w:sz w:val="24"/>
          <w:szCs w:val="24"/>
          <w:highlight w:val="none"/>
          <w14:textFill>
            <w14:solidFill>
              <w14:schemeClr w14:val="tx1"/>
            </w14:solidFill>
          </w14:textFill>
        </w:rPr>
        <w:t>合同签订后15天内，中标人应</w:t>
      </w:r>
      <w:r>
        <w:rPr>
          <w:rFonts w:cs="宋体"/>
          <w:bCs/>
          <w:color w:val="000000" w:themeColor="text1"/>
          <w:kern w:val="0"/>
          <w:sz w:val="24"/>
          <w:szCs w:val="24"/>
          <w:highlight w:val="none"/>
          <w:lang w:val="zh-CN"/>
          <w14:textFill>
            <w14:solidFill>
              <w14:schemeClr w14:val="tx1"/>
            </w14:solidFill>
          </w14:textFill>
        </w:rPr>
        <w:t>提供</w:t>
      </w:r>
      <w:r>
        <w:rPr>
          <w:rFonts w:cs="宋体"/>
          <w:color w:val="000000" w:themeColor="text1"/>
          <w:sz w:val="24"/>
          <w:szCs w:val="24"/>
          <w:highlight w:val="none"/>
          <w14:textFill>
            <w14:solidFill>
              <w14:schemeClr w14:val="tx1"/>
            </w14:solidFill>
          </w14:textFill>
        </w:rPr>
        <w:t>仪器安装前对采购人的具体安装</w:t>
      </w:r>
      <w:r>
        <w:rPr>
          <w:rFonts w:cs="宋体"/>
          <w:bCs/>
          <w:color w:val="000000" w:themeColor="text1"/>
          <w:kern w:val="0"/>
          <w:sz w:val="24"/>
          <w:szCs w:val="24"/>
          <w:highlight w:val="none"/>
          <w:lang w:val="zh-CN"/>
          <w14:textFill>
            <w14:solidFill>
              <w14:schemeClr w14:val="tx1"/>
            </w14:solidFill>
          </w14:textFill>
        </w:rPr>
        <w:t>条件</w:t>
      </w:r>
      <w:r>
        <w:rPr>
          <w:rFonts w:cs="宋体"/>
          <w:color w:val="000000" w:themeColor="text1"/>
          <w:sz w:val="24"/>
          <w:szCs w:val="24"/>
          <w:highlight w:val="none"/>
          <w14:textFill>
            <w14:solidFill>
              <w14:schemeClr w14:val="tx1"/>
            </w14:solidFill>
          </w14:textFill>
        </w:rPr>
        <w:t>要求</w:t>
      </w:r>
      <w:r>
        <w:rPr>
          <w:rFonts w:cs="宋体"/>
          <w:bCs/>
          <w:color w:val="000000" w:themeColor="text1"/>
          <w:kern w:val="0"/>
          <w:sz w:val="24"/>
          <w:szCs w:val="24"/>
          <w:highlight w:val="none"/>
          <w:lang w:val="zh-CN"/>
          <w14:textFill>
            <w14:solidFill>
              <w14:schemeClr w14:val="tx1"/>
            </w14:solidFill>
          </w14:textFill>
        </w:rPr>
        <w:t>，</w:t>
      </w:r>
      <w:r>
        <w:rPr>
          <w:rFonts w:cs="宋体"/>
          <w:color w:val="000000" w:themeColor="text1"/>
          <w:sz w:val="24"/>
          <w:szCs w:val="24"/>
          <w:highlight w:val="none"/>
          <w14:textFill>
            <w14:solidFill>
              <w14:schemeClr w14:val="tx1"/>
            </w14:solidFill>
          </w14:textFill>
        </w:rPr>
        <w:t>除了在技术规格中提出的要求外，在合同生效后30天之内，为使用户作好准备工作，卖方应给最终用户邮寄一套所供产品的全套技术资料，其中包括操作手册（或应用指南）、维修手册等，另一套完整技术资料应随货物包装发运，这些费用应已包括在该品目的基本报价中。</w:t>
      </w:r>
    </w:p>
    <w:p w14:paraId="34A2999B">
      <w:pPr>
        <w:pStyle w:val="2"/>
        <w:numPr>
          <w:ilvl w:val="0"/>
          <w:numId w:val="7"/>
        </w:numPr>
        <w:spacing w:line="360" w:lineRule="auto"/>
        <w:ind w:firstLineChars="0"/>
        <w:rPr>
          <w:rFonts w:cs="宋体"/>
          <w:bCs/>
          <w:color w:val="000000" w:themeColor="text1"/>
          <w:kern w:val="0"/>
          <w:sz w:val="24"/>
          <w:szCs w:val="24"/>
          <w:highlight w:val="none"/>
          <w:lang w:val="zh-CN"/>
          <w14:textFill>
            <w14:solidFill>
              <w14:schemeClr w14:val="tx1"/>
            </w14:solidFill>
          </w14:textFill>
        </w:rPr>
      </w:pPr>
      <w:r>
        <w:rPr>
          <w:rFonts w:cs="宋体"/>
          <w:bCs/>
          <w:color w:val="000000" w:themeColor="text1"/>
          <w:kern w:val="0"/>
          <w:sz w:val="24"/>
          <w:szCs w:val="24"/>
          <w:highlight w:val="none"/>
          <w:lang w:val="zh-CN"/>
          <w14:textFill>
            <w14:solidFill>
              <w14:schemeClr w14:val="tx1"/>
            </w14:solidFill>
          </w14:textFill>
        </w:rPr>
        <w:t xml:space="preserve">仪器设备运抵安装现场后，采购人将与中标人共同开箱验收, 如中标人届时不派人来, 则验收结果应以采购人和当地商检人员的验收报告为最终验收结果。验收时发现短缺、破损, 采购人有权要求中标人立即补发和负责更换。 </w:t>
      </w:r>
    </w:p>
    <w:p w14:paraId="5CEB96A4">
      <w:pPr>
        <w:pStyle w:val="2"/>
        <w:numPr>
          <w:ilvl w:val="0"/>
          <w:numId w:val="7"/>
        </w:numPr>
        <w:spacing w:line="360" w:lineRule="auto"/>
        <w:ind w:firstLineChars="0"/>
        <w:rPr>
          <w:rFonts w:cs="宋体"/>
          <w:bCs/>
          <w:color w:val="000000" w:themeColor="text1"/>
          <w:kern w:val="0"/>
          <w:sz w:val="24"/>
          <w:szCs w:val="24"/>
          <w:highlight w:val="none"/>
          <w:lang w:val="zh-CN"/>
          <w14:textFill>
            <w14:solidFill>
              <w14:schemeClr w14:val="tx1"/>
            </w14:solidFill>
          </w14:textFill>
        </w:rPr>
      </w:pPr>
      <w:r>
        <w:rPr>
          <w:rFonts w:cs="宋体"/>
          <w:bCs/>
          <w:color w:val="000000" w:themeColor="text1"/>
          <w:kern w:val="0"/>
          <w:sz w:val="24"/>
          <w:szCs w:val="24"/>
          <w:highlight w:val="none"/>
          <w:lang w:val="zh-CN"/>
          <w14:textFill>
            <w14:solidFill>
              <w14:schemeClr w14:val="tx1"/>
            </w14:solidFill>
          </w14:textFill>
        </w:rPr>
        <w:t xml:space="preserve">中标人应提出仪器设备测试的内容、项目、指标和方法,中标人有责任对采购人的技术人员提出的问题作出解答。测试应进行详细记录, 仪器设备测试结束后, 由中标人技术人员签字后交给采购人验收。 </w:t>
      </w:r>
    </w:p>
    <w:p w14:paraId="54FEE86B">
      <w:pPr>
        <w:pStyle w:val="2"/>
        <w:numPr>
          <w:ilvl w:val="0"/>
          <w:numId w:val="7"/>
        </w:numPr>
        <w:spacing w:line="360" w:lineRule="auto"/>
        <w:ind w:firstLineChars="0"/>
        <w:rPr>
          <w:rFonts w:cs="宋体"/>
          <w:color w:val="000000" w:themeColor="text1"/>
          <w:sz w:val="24"/>
          <w:szCs w:val="24"/>
          <w:highlight w:val="none"/>
          <w:lang w:val="zh-CN"/>
          <w14:textFill>
            <w14:solidFill>
              <w14:schemeClr w14:val="tx1"/>
            </w14:solidFill>
          </w14:textFill>
        </w:rPr>
      </w:pPr>
      <w:r>
        <w:rPr>
          <w:rFonts w:cs="宋体"/>
          <w:bCs/>
          <w:color w:val="000000" w:themeColor="text1"/>
          <w:kern w:val="0"/>
          <w:sz w:val="24"/>
          <w:szCs w:val="24"/>
          <w:highlight w:val="none"/>
          <w:lang w:val="zh-CN"/>
          <w14:textFill>
            <w14:solidFill>
              <w14:schemeClr w14:val="tx1"/>
            </w14:solidFill>
          </w14:textFill>
        </w:rPr>
        <w:t xml:space="preserve">保修期自最终安装验收合格后开始，保修期内中标人要保修除消耗品以外的所有部件。在保修期内，如果仪器设备发生故障，中标人要调查故障原因并修复直至满足最终验收指标和性能的要求，或者更换整个或部分有缺陷的材料。以上都应是免费的。  </w:t>
      </w:r>
    </w:p>
    <w:p w14:paraId="52273EB7">
      <w:pPr>
        <w:numPr>
          <w:ilvl w:val="0"/>
          <w:numId w:val="3"/>
        </w:numPr>
        <w:tabs>
          <w:tab w:val="left" w:pos="420"/>
        </w:tabs>
        <w:autoSpaceDE w:val="0"/>
        <w:autoSpaceDN w:val="0"/>
        <w:adjustRightInd w:val="0"/>
        <w:spacing w:line="360" w:lineRule="auto"/>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质量及知识产权要求</w:t>
      </w:r>
    </w:p>
    <w:p w14:paraId="469DD742">
      <w:pPr>
        <w:numPr>
          <w:ilvl w:val="0"/>
          <w:numId w:val="8"/>
        </w:numPr>
        <w:tabs>
          <w:tab w:val="left" w:pos="426"/>
          <w:tab w:val="left" w:pos="851"/>
        </w:tabs>
        <w:autoSpaceDE w:val="0"/>
        <w:autoSpaceDN w:val="0"/>
        <w:adjustRightInd w:val="0"/>
        <w:spacing w:line="360" w:lineRule="auto"/>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投标人提供完好、全新的原包装产品（包括零配件），随机技术资料齐全。产品符合国家质量检测标准，必须具有生产日期、厂名、厂址、产品合格证等。进口产品须提供海关进货单（复印件备查）。</w:t>
      </w:r>
    </w:p>
    <w:p w14:paraId="3057E495">
      <w:pPr>
        <w:numPr>
          <w:ilvl w:val="0"/>
          <w:numId w:val="8"/>
        </w:numPr>
        <w:tabs>
          <w:tab w:val="left" w:pos="426"/>
          <w:tab w:val="left" w:pos="851"/>
        </w:tabs>
        <w:autoSpaceDE w:val="0"/>
        <w:autoSpaceDN w:val="0"/>
        <w:adjustRightInd w:val="0"/>
        <w:spacing w:line="360" w:lineRule="auto"/>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采购人在中国使用该货物或货物的任何一部分时，免受第三方提出的侵犯其专利权、商标权或工业设计权等知识产权的起诉或司法干预。如果发生上述起诉或干预，则其法律责任均由投标人负责。</w:t>
      </w:r>
    </w:p>
    <w:p w14:paraId="36E8E74B">
      <w:pPr>
        <w:numPr>
          <w:ilvl w:val="0"/>
          <w:numId w:val="3"/>
        </w:numPr>
        <w:tabs>
          <w:tab w:val="left" w:pos="420"/>
        </w:tabs>
        <w:autoSpaceDE w:val="0"/>
        <w:autoSpaceDN w:val="0"/>
        <w:adjustRightInd w:val="0"/>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★关于违约责任</w:t>
      </w:r>
    </w:p>
    <w:p w14:paraId="1FFE06CF">
      <w:pPr>
        <w:pStyle w:val="13"/>
        <w:numPr>
          <w:ilvl w:val="0"/>
          <w:numId w:val="9"/>
        </w:numPr>
        <w:autoSpaceDE w:val="0"/>
        <w:autoSpaceDN w:val="0"/>
        <w:adjustRightInd w:val="0"/>
        <w:spacing w:line="360" w:lineRule="auto"/>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由于中标人的原因未能按时供货的，每迟一天罚款合同总额的0.5%，累计不超过 10% 。如超过供货期45天，采购人有权视情况终止采购合同并通过法律程序对供应商进行索赔。</w:t>
      </w:r>
    </w:p>
    <w:p w14:paraId="6F57EF84">
      <w:pPr>
        <w:pStyle w:val="13"/>
        <w:numPr>
          <w:ilvl w:val="0"/>
          <w:numId w:val="9"/>
        </w:numPr>
        <w:spacing w:line="360" w:lineRule="auto"/>
        <w:ind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采购人有权对中标人就本项目要求提供的相关证明资料（原件）进行审查。中标人提供虚假资料被查实的，采购人有权采取如下措施：</w:t>
      </w:r>
    </w:p>
    <w:p w14:paraId="1B8C7D43">
      <w:pPr>
        <w:pStyle w:val="13"/>
        <w:numPr>
          <w:ilvl w:val="1"/>
          <w:numId w:val="9"/>
        </w:numPr>
        <w:spacing w:line="360" w:lineRule="auto"/>
        <w:ind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上报财政监管部门取消中标人本项目中标资格； </w:t>
      </w:r>
    </w:p>
    <w:p w14:paraId="77AE32CD">
      <w:pPr>
        <w:pStyle w:val="13"/>
        <w:numPr>
          <w:ilvl w:val="1"/>
          <w:numId w:val="9"/>
        </w:numPr>
        <w:spacing w:line="360" w:lineRule="auto"/>
        <w:ind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上报财政监管部门列入不良行为记录名单和三年内禁止参与政府采购活动；</w:t>
      </w:r>
    </w:p>
    <w:p w14:paraId="70DFDCE7">
      <w:pPr>
        <w:pStyle w:val="5"/>
        <w:numPr>
          <w:ilvl w:val="1"/>
          <w:numId w:val="9"/>
        </w:numPr>
        <w:spacing w:line="360" w:lineRule="auto"/>
        <w:rPr>
          <w:rFonts w:eastAsia="宋体"/>
          <w:b w:val="0"/>
          <w:sz w:val="24"/>
          <w:szCs w:val="24"/>
          <w:highlight w:val="none"/>
        </w:rPr>
      </w:pPr>
      <w:r>
        <w:rPr>
          <w:rFonts w:hint="eastAsia" w:ascii="宋体" w:hAnsi="宋体" w:eastAsia="宋体" w:cs="宋体"/>
          <w:b w:val="0"/>
          <w:sz w:val="24"/>
          <w:szCs w:val="24"/>
          <w:highlight w:val="none"/>
        </w:rPr>
        <w:t>追返采购人向中标人已支付的相关费用，并要求中标人赔偿合同总金额30%的违约金。违约金不足以弥补采购人损失的，中标人应当继续赔偿。由此造成的一切损失由中标人承担。</w:t>
      </w:r>
    </w:p>
    <w:p w14:paraId="572A82A0">
      <w:pPr>
        <w:pStyle w:val="2"/>
        <w:numPr>
          <w:ilvl w:val="0"/>
          <w:numId w:val="9"/>
        </w:numPr>
        <w:spacing w:line="360" w:lineRule="auto"/>
        <w:ind w:hanging="360" w:firstLineChars="0"/>
        <w:rPr>
          <w:rFonts w:cs="宋体"/>
          <w:sz w:val="24"/>
          <w:szCs w:val="24"/>
          <w:highlight w:val="none"/>
        </w:rPr>
      </w:pPr>
      <w:r>
        <w:rPr>
          <w:rFonts w:cs="宋体"/>
          <w:sz w:val="24"/>
          <w:szCs w:val="24"/>
          <w:highlight w:val="none"/>
        </w:rPr>
        <w:t>中标人所提供的服务及所交付的产品品种、型号、规格、质量不符合同规定标准的，采购人有权拒绝收货且无需承担任何责任，同时采购人有权要求中标人限期重新供货或解除采购合同，由此造成的一</w:t>
      </w:r>
      <w:r>
        <w:rPr>
          <w:rFonts w:cs="宋体"/>
          <w:kern w:val="0"/>
          <w:sz w:val="24"/>
          <w:szCs w:val="24"/>
          <w:highlight w:val="none"/>
          <w:lang w:val="zh-CN"/>
        </w:rPr>
        <w:t>切损失由中标人承</w:t>
      </w:r>
      <w:r>
        <w:rPr>
          <w:rFonts w:cs="宋体"/>
          <w:sz w:val="24"/>
          <w:szCs w:val="24"/>
          <w:highlight w:val="none"/>
        </w:rPr>
        <w:t>担。</w:t>
      </w:r>
    </w:p>
    <w:p w14:paraId="14E225F2">
      <w:pPr>
        <w:pStyle w:val="2"/>
        <w:numPr>
          <w:ilvl w:val="0"/>
          <w:numId w:val="9"/>
        </w:numPr>
        <w:spacing w:line="360" w:lineRule="auto"/>
        <w:ind w:hanging="360" w:firstLineChars="0"/>
        <w:rPr>
          <w:rFonts w:cs="宋体"/>
          <w:sz w:val="24"/>
          <w:szCs w:val="24"/>
          <w:highlight w:val="none"/>
        </w:rPr>
      </w:pPr>
      <w:r>
        <w:rPr>
          <w:rFonts w:cs="宋体"/>
          <w:sz w:val="24"/>
          <w:szCs w:val="24"/>
          <w:highlight w:val="none"/>
        </w:rPr>
        <w:t>其他由违法导致违约的行为按相关法律法规执行</w:t>
      </w:r>
      <w:r>
        <w:rPr>
          <w:rFonts w:hint="eastAsia" w:cs="宋体"/>
          <w:sz w:val="24"/>
          <w:szCs w:val="24"/>
          <w:highlight w:val="none"/>
          <w:lang w:eastAsia="zh-CN"/>
        </w:rPr>
        <w:t>。</w:t>
      </w:r>
    </w:p>
    <w:p w14:paraId="3C0B214F">
      <w:pPr>
        <w:pStyle w:val="2"/>
        <w:spacing w:line="360" w:lineRule="auto"/>
        <w:ind w:firstLine="0" w:firstLineChars="0"/>
        <w:rPr>
          <w:rFonts w:hint="default" w:cs="宋体"/>
          <w:color w:val="000000" w:themeColor="text1"/>
          <w:sz w:val="24"/>
          <w:szCs w:val="24"/>
          <w:highlight w:val="none"/>
          <w14:textFill>
            <w14:solidFill>
              <w14:schemeClr w14:val="tx1"/>
            </w14:solidFill>
          </w14:textFill>
        </w:rPr>
      </w:pPr>
    </w:p>
    <w:bookmarkEnd w:id="0"/>
    <w:bookmarkEnd w:id="1"/>
    <w:p w14:paraId="1DD036E5">
      <w:pPr>
        <w:spacing w:line="360" w:lineRule="auto"/>
        <w:rPr>
          <w:rFonts w:ascii="宋体" w:hAnsi="宋体" w:eastAsia="宋体" w:cs="宋体"/>
          <w:color w:val="auto"/>
          <w:sz w:val="24"/>
          <w:highlight w:val="none"/>
        </w:rPr>
      </w:pPr>
      <w:bookmarkStart w:id="2" w:name="_GoBack"/>
      <w:bookmarkEnd w:id="2"/>
    </w:p>
    <w:p w14:paraId="35977F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icrosoft JhengHei U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86757"/>
    <w:multiLevelType w:val="singleLevel"/>
    <w:tmpl w:val="04986757"/>
    <w:lvl w:ilvl="0" w:tentative="0">
      <w:start w:val="1"/>
      <w:numFmt w:val="decimal"/>
      <w:lvlText w:val="%1)"/>
      <w:lvlJc w:val="left"/>
      <w:pPr>
        <w:ind w:left="425" w:hanging="425"/>
      </w:pPr>
      <w:rPr>
        <w:rFonts w:hint="default"/>
      </w:rPr>
    </w:lvl>
  </w:abstractNum>
  <w:abstractNum w:abstractNumId="1">
    <w:nsid w:val="178743E5"/>
    <w:multiLevelType w:val="multilevel"/>
    <w:tmpl w:val="178743E5"/>
    <w:lvl w:ilvl="0" w:tentative="0">
      <w:start w:val="1"/>
      <w:numFmt w:val="decimal"/>
      <w:lvlText w:val="%1)"/>
      <w:lvlJc w:val="left"/>
      <w:pPr>
        <w:ind w:left="524" w:hanging="440"/>
      </w:pPr>
    </w:lvl>
    <w:lvl w:ilvl="1" w:tentative="0">
      <w:start w:val="1"/>
      <w:numFmt w:val="lowerLetter"/>
      <w:lvlText w:val="%2)"/>
      <w:lvlJc w:val="left"/>
      <w:pPr>
        <w:ind w:left="964" w:hanging="440"/>
      </w:pPr>
    </w:lvl>
    <w:lvl w:ilvl="2" w:tentative="0">
      <w:start w:val="1"/>
      <w:numFmt w:val="lowerRoman"/>
      <w:lvlText w:val="%3."/>
      <w:lvlJc w:val="right"/>
      <w:pPr>
        <w:ind w:left="1404" w:hanging="440"/>
      </w:pPr>
    </w:lvl>
    <w:lvl w:ilvl="3" w:tentative="0">
      <w:start w:val="1"/>
      <w:numFmt w:val="decimal"/>
      <w:lvlText w:val="%4."/>
      <w:lvlJc w:val="left"/>
      <w:pPr>
        <w:ind w:left="1844" w:hanging="440"/>
      </w:pPr>
    </w:lvl>
    <w:lvl w:ilvl="4" w:tentative="0">
      <w:start w:val="1"/>
      <w:numFmt w:val="lowerLetter"/>
      <w:lvlText w:val="%5)"/>
      <w:lvlJc w:val="left"/>
      <w:pPr>
        <w:ind w:left="2284" w:hanging="440"/>
      </w:pPr>
    </w:lvl>
    <w:lvl w:ilvl="5" w:tentative="0">
      <w:start w:val="1"/>
      <w:numFmt w:val="lowerRoman"/>
      <w:lvlText w:val="%6."/>
      <w:lvlJc w:val="right"/>
      <w:pPr>
        <w:ind w:left="2724" w:hanging="440"/>
      </w:pPr>
    </w:lvl>
    <w:lvl w:ilvl="6" w:tentative="0">
      <w:start w:val="1"/>
      <w:numFmt w:val="decimal"/>
      <w:lvlText w:val="%7."/>
      <w:lvlJc w:val="left"/>
      <w:pPr>
        <w:ind w:left="3164" w:hanging="440"/>
      </w:pPr>
    </w:lvl>
    <w:lvl w:ilvl="7" w:tentative="0">
      <w:start w:val="1"/>
      <w:numFmt w:val="lowerLetter"/>
      <w:lvlText w:val="%8)"/>
      <w:lvlJc w:val="left"/>
      <w:pPr>
        <w:ind w:left="3604" w:hanging="440"/>
      </w:pPr>
    </w:lvl>
    <w:lvl w:ilvl="8" w:tentative="0">
      <w:start w:val="1"/>
      <w:numFmt w:val="lowerRoman"/>
      <w:lvlText w:val="%9."/>
      <w:lvlJc w:val="right"/>
      <w:pPr>
        <w:ind w:left="4044" w:hanging="440"/>
      </w:pPr>
    </w:lvl>
  </w:abstractNum>
  <w:abstractNum w:abstractNumId="2">
    <w:nsid w:val="28B43A31"/>
    <w:multiLevelType w:val="multilevel"/>
    <w:tmpl w:val="28B43A31"/>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8340A20"/>
    <w:multiLevelType w:val="multilevel"/>
    <w:tmpl w:val="58340A20"/>
    <w:lvl w:ilvl="0" w:tentative="0">
      <w:start w:val="1"/>
      <w:numFmt w:val="decimal"/>
      <w:lvlText w:val="%1)"/>
      <w:lvlJc w:val="left"/>
      <w:pPr>
        <w:tabs>
          <w:tab w:val="left" w:pos="1500"/>
        </w:tabs>
        <w:ind w:left="1500" w:hanging="420"/>
      </w:pPr>
    </w:lvl>
    <w:lvl w:ilvl="1" w:tentative="0">
      <w:start w:val="1"/>
      <w:numFmt w:val="decimal"/>
      <w:lvlText w:val="%2."/>
      <w:lvlJc w:val="left"/>
      <w:pPr>
        <w:tabs>
          <w:tab w:val="left" w:pos="1920"/>
        </w:tabs>
        <w:ind w:left="1920" w:hanging="420"/>
      </w:pPr>
    </w:lvl>
    <w:lvl w:ilvl="2" w:tentative="0">
      <w:start w:val="7"/>
      <w:numFmt w:val="decimal"/>
      <w:lvlText w:val="%3、"/>
      <w:lvlJc w:val="left"/>
      <w:pPr>
        <w:tabs>
          <w:tab w:val="left" w:pos="360"/>
        </w:tabs>
        <w:ind w:left="360" w:hanging="360"/>
      </w:pPr>
      <w:rPr>
        <w:rFonts w:hint="default" w:hAnsi="宋体"/>
      </w:rPr>
    </w:lvl>
    <w:lvl w:ilvl="3" w:tentative="0">
      <w:start w:val="1"/>
      <w:numFmt w:val="decimal"/>
      <w:lvlText w:val="%4)"/>
      <w:lvlJc w:val="left"/>
      <w:pPr>
        <w:tabs>
          <w:tab w:val="left" w:pos="2760"/>
        </w:tabs>
        <w:ind w:left="2760" w:hanging="420"/>
      </w:pPr>
    </w:lvl>
    <w:lvl w:ilvl="4" w:tentative="0">
      <w:start w:val="8"/>
      <w:numFmt w:val="decimal"/>
      <w:lvlText w:val="%5"/>
      <w:lvlJc w:val="left"/>
      <w:pPr>
        <w:tabs>
          <w:tab w:val="left" w:pos="3120"/>
        </w:tabs>
        <w:ind w:left="3120" w:hanging="360"/>
      </w:pPr>
      <w:rPr>
        <w:rFonts w:hint="default" w:hAnsi="宋体" w:eastAsia="宋体"/>
      </w:rPr>
    </w:lvl>
    <w:lvl w:ilvl="5" w:tentative="0">
      <w:start w:val="4"/>
      <w:numFmt w:val="japaneseCounting"/>
      <w:lvlText w:val="%6、"/>
      <w:lvlJc w:val="left"/>
      <w:pPr>
        <w:ind w:left="3600" w:hanging="420"/>
      </w:pPr>
      <w:rPr>
        <w:rFonts w:hint="default"/>
      </w:rPr>
    </w:lvl>
    <w:lvl w:ilvl="6" w:tentative="0">
      <w:start w:val="1"/>
      <w:numFmt w:val="decimal"/>
      <w:lvlText w:val="%7."/>
      <w:lvlJc w:val="left"/>
      <w:pPr>
        <w:tabs>
          <w:tab w:val="left" w:pos="4020"/>
        </w:tabs>
        <w:ind w:left="4020" w:hanging="420"/>
      </w:pPr>
    </w:lvl>
    <w:lvl w:ilvl="7" w:tentative="0">
      <w:start w:val="1"/>
      <w:numFmt w:val="lowerLetter"/>
      <w:lvlText w:val="%8)"/>
      <w:lvlJc w:val="left"/>
      <w:pPr>
        <w:tabs>
          <w:tab w:val="left" w:pos="4440"/>
        </w:tabs>
        <w:ind w:left="4440" w:hanging="420"/>
      </w:pPr>
    </w:lvl>
    <w:lvl w:ilvl="8" w:tentative="0">
      <w:start w:val="1"/>
      <w:numFmt w:val="lowerRoman"/>
      <w:lvlText w:val="%9."/>
      <w:lvlJc w:val="right"/>
      <w:pPr>
        <w:tabs>
          <w:tab w:val="left" w:pos="4860"/>
        </w:tabs>
        <w:ind w:left="4860" w:hanging="420"/>
      </w:pPr>
    </w:lvl>
  </w:abstractNum>
  <w:abstractNum w:abstractNumId="4">
    <w:nsid w:val="5DB53685"/>
    <w:multiLevelType w:val="multilevel"/>
    <w:tmpl w:val="5DB53685"/>
    <w:lvl w:ilvl="0" w:tentative="0">
      <w:start w:val="1"/>
      <w:numFmt w:val="decimal"/>
      <w:lvlText w:val="%1）"/>
      <w:lvlJc w:val="left"/>
      <w:pPr>
        <w:ind w:left="360" w:hanging="360"/>
      </w:pPr>
      <w:rPr>
        <w:rFonts w:hint="default"/>
      </w:rPr>
    </w:lvl>
    <w:lvl w:ilvl="1" w:tentative="0">
      <w:start w:val="1"/>
      <w:numFmt w:val="lowerLetter"/>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E2E2083"/>
    <w:multiLevelType w:val="multilevel"/>
    <w:tmpl w:val="6E2E2083"/>
    <w:lvl w:ilvl="0" w:tentative="0">
      <w:start w:val="1"/>
      <w:numFmt w:val="decimal"/>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lowerRoman"/>
      <w:lvlText w:val="%3."/>
      <w:lvlJc w:val="right"/>
      <w:pPr>
        <w:tabs>
          <w:tab w:val="left" w:pos="2340"/>
        </w:tabs>
        <w:ind w:left="2340" w:hanging="420"/>
      </w:pPr>
    </w:lvl>
    <w:lvl w:ilvl="3" w:tentative="0">
      <w:start w:val="1"/>
      <w:numFmt w:val="decimal"/>
      <w:lvlText w:val="%4."/>
      <w:lvlJc w:val="left"/>
      <w:pPr>
        <w:tabs>
          <w:tab w:val="left" w:pos="2760"/>
        </w:tabs>
        <w:ind w:left="2760" w:hanging="420"/>
      </w:pPr>
    </w:lvl>
    <w:lvl w:ilvl="4" w:tentative="0">
      <w:start w:val="1"/>
      <w:numFmt w:val="lowerLetter"/>
      <w:lvlText w:val="%5)"/>
      <w:lvlJc w:val="left"/>
      <w:pPr>
        <w:tabs>
          <w:tab w:val="left" w:pos="3180"/>
        </w:tabs>
        <w:ind w:left="3180" w:hanging="420"/>
      </w:pPr>
    </w:lvl>
    <w:lvl w:ilvl="5" w:tentative="0">
      <w:start w:val="1"/>
      <w:numFmt w:val="lowerRoman"/>
      <w:lvlText w:val="%6."/>
      <w:lvlJc w:val="right"/>
      <w:pPr>
        <w:tabs>
          <w:tab w:val="left" w:pos="3600"/>
        </w:tabs>
        <w:ind w:left="3600" w:hanging="420"/>
      </w:pPr>
    </w:lvl>
    <w:lvl w:ilvl="6" w:tentative="0">
      <w:start w:val="1"/>
      <w:numFmt w:val="decimal"/>
      <w:lvlText w:val="%7."/>
      <w:lvlJc w:val="left"/>
      <w:pPr>
        <w:tabs>
          <w:tab w:val="left" w:pos="4020"/>
        </w:tabs>
        <w:ind w:left="4020" w:hanging="420"/>
      </w:pPr>
    </w:lvl>
    <w:lvl w:ilvl="7" w:tentative="0">
      <w:start w:val="1"/>
      <w:numFmt w:val="lowerLetter"/>
      <w:lvlText w:val="%8)"/>
      <w:lvlJc w:val="left"/>
      <w:pPr>
        <w:tabs>
          <w:tab w:val="left" w:pos="4440"/>
        </w:tabs>
        <w:ind w:left="4440" w:hanging="420"/>
      </w:pPr>
    </w:lvl>
    <w:lvl w:ilvl="8" w:tentative="0">
      <w:start w:val="1"/>
      <w:numFmt w:val="lowerRoman"/>
      <w:lvlText w:val="%9."/>
      <w:lvlJc w:val="right"/>
      <w:pPr>
        <w:tabs>
          <w:tab w:val="left" w:pos="4860"/>
        </w:tabs>
        <w:ind w:left="4860" w:hanging="420"/>
      </w:pPr>
    </w:lvl>
  </w:abstractNum>
  <w:abstractNum w:abstractNumId="6">
    <w:nsid w:val="70816618"/>
    <w:multiLevelType w:val="multilevel"/>
    <w:tmpl w:val="708166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C68EB4"/>
    <w:multiLevelType w:val="singleLevel"/>
    <w:tmpl w:val="70C68EB4"/>
    <w:lvl w:ilvl="0" w:tentative="0">
      <w:start w:val="1"/>
      <w:numFmt w:val="decimal"/>
      <w:lvlText w:val="%1)"/>
      <w:lvlJc w:val="left"/>
      <w:pPr>
        <w:tabs>
          <w:tab w:val="left" w:pos="312"/>
        </w:tabs>
      </w:pPr>
    </w:lvl>
  </w:abstractNum>
  <w:abstractNum w:abstractNumId="8">
    <w:nsid w:val="7AE1256C"/>
    <w:multiLevelType w:val="singleLevel"/>
    <w:tmpl w:val="7AE1256C"/>
    <w:lvl w:ilvl="0" w:tentative="0">
      <w:start w:val="1"/>
      <w:numFmt w:val="decimal"/>
      <w:lvlText w:val="%1."/>
      <w:lvlJc w:val="left"/>
      <w:pPr>
        <w:ind w:left="425" w:hanging="425"/>
      </w:pPr>
      <w:rPr>
        <w:rFonts w:hint="default"/>
        <w:b/>
        <w:bCs/>
      </w:rPr>
    </w:lvl>
  </w:abstractNum>
  <w:num w:numId="1">
    <w:abstractNumId w:val="2"/>
  </w:num>
  <w:num w:numId="2">
    <w:abstractNumId w:val="1"/>
  </w:num>
  <w:num w:numId="3">
    <w:abstractNumId w:val="8"/>
  </w:num>
  <w:num w:numId="4">
    <w:abstractNumId w:val="7"/>
  </w:num>
  <w:num w:numId="5">
    <w:abstractNumId w:val="3"/>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MWExOThmYWI0ODUwYjZhMTRjZjA5ZjFhMTVlMGYifQ=="/>
  </w:docVars>
  <w:rsids>
    <w:rsidRoot w:val="1E3271AC"/>
    <w:rsid w:val="1E3271AC"/>
    <w:rsid w:val="28FB0124"/>
    <w:rsid w:val="4EB0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autoSpaceDE w:val="0"/>
      <w:autoSpaceDN w:val="0"/>
      <w:ind w:right="26" w:firstLine="420" w:firstLineChars="200"/>
      <w:textAlignment w:val="bottom"/>
    </w:pPr>
    <w:rPr>
      <w:rFonts w:hint="eastAsia" w:ascii="宋体" w:eastAsia="宋体" w:cs="Times New Roman"/>
      <w:color w:val="333333"/>
      <w:sz w:val="21"/>
      <w:szCs w:val="21"/>
    </w:rPr>
  </w:style>
  <w:style w:type="paragraph" w:styleId="3">
    <w:name w:val="Body Text Indent"/>
    <w:basedOn w:val="1"/>
    <w:next w:val="4"/>
    <w:qFormat/>
    <w:uiPriority w:val="0"/>
    <w:pPr>
      <w:ind w:firstLine="700" w:firstLineChars="250"/>
    </w:pPr>
    <w:rPr>
      <w:rFonts w:ascii="楷体_GB2312" w:hAnsi="宋体" w:eastAsia="楷体_GB2312"/>
      <w:sz w:val="28"/>
    </w:rPr>
  </w:style>
  <w:style w:type="paragraph" w:styleId="4">
    <w:name w:val="envelope return"/>
    <w:basedOn w:val="1"/>
    <w:unhideWhenUsed/>
    <w:qFormat/>
    <w:uiPriority w:val="99"/>
    <w:pPr>
      <w:snapToGrid w:val="0"/>
    </w:pPr>
    <w:rPr>
      <w:rFonts w:ascii="Arial" w:hAnsi="Arial"/>
    </w:rPr>
  </w:style>
  <w:style w:type="paragraph" w:styleId="5">
    <w:name w:val="Body Text"/>
    <w:basedOn w:val="1"/>
    <w:next w:val="1"/>
    <w:qFormat/>
    <w:uiPriority w:val="0"/>
    <w:pPr>
      <w:spacing w:line="480" w:lineRule="atLeast"/>
    </w:pPr>
    <w:rPr>
      <w:rFonts w:ascii="楷体_GB2312" w:eastAsia="楷体_GB2312"/>
      <w:b/>
      <w:sz w:val="30"/>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character" w:styleId="11">
    <w:name w:val="page number"/>
    <w:basedOn w:val="10"/>
    <w:qFormat/>
    <w:uiPriority w:val="0"/>
  </w:style>
  <w:style w:type="paragraph" w:customStyle="1" w:styleId="12">
    <w:name w:val="Table Paragraph"/>
    <w:basedOn w:val="1"/>
    <w:qFormat/>
    <w:uiPriority w:val="1"/>
    <w:rPr>
      <w:rFonts w:ascii="Microsoft JhengHei UI" w:hAnsi="Microsoft JhengHei UI" w:eastAsia="Microsoft JhengHei UI" w:cs="Microsoft JhengHei UI"/>
      <w:szCs w:val="22"/>
      <w:lang w:val="zh-CN" w:bidi="zh-CN"/>
    </w:rPr>
  </w:style>
  <w:style w:type="paragraph" w:styleId="1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2024-10-09T05:14:00Z</dcterms:created>
  <dc:creator>zl</dc:creator>
  <cp:lastModifiedBy>zl</cp:lastModifiedBy>
  <dcterms:modified xsi:type="dcterms:W3CDTF">2024-10-09T05:15:24Z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9181036162694FEBAB8B653DE1867FFC_13</vt:lpwstr>
  </property>
</Properties>
</file>