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F6BC">
      <w:pPr>
        <w:spacing w:line="360" w:lineRule="auto"/>
        <w:jc w:val="center"/>
        <w:rPr>
          <w:b/>
        </w:rPr>
      </w:pPr>
      <w:r>
        <w:rPr>
          <w:rFonts w:hint="eastAsia" w:ascii="宋体" w:hAnsi="宋体"/>
          <w:b/>
          <w:bCs/>
          <w:kern w:val="0"/>
          <w:sz w:val="36"/>
          <w:szCs w:val="36"/>
        </w:rPr>
        <w:t>项目需求</w:t>
      </w:r>
    </w:p>
    <w:p w14:paraId="1B5E8536">
      <w:pPr>
        <w:pStyle w:val="2"/>
        <w:spacing w:line="360" w:lineRule="auto"/>
        <w:rPr>
          <w:b/>
        </w:rPr>
      </w:pPr>
    </w:p>
    <w:p w14:paraId="0B60594F">
      <w:pPr>
        <w:keepNext/>
        <w:keepLines/>
        <w:spacing w:line="360" w:lineRule="auto"/>
        <w:jc w:val="center"/>
        <w:outlineLvl w:val="3"/>
        <w:rPr>
          <w:sz w:val="32"/>
          <w:szCs w:val="32"/>
        </w:rPr>
      </w:pPr>
      <w:r>
        <w:rPr>
          <w:rFonts w:hint="eastAsia"/>
          <w:b/>
          <w:color w:val="000000"/>
          <w:sz w:val="30"/>
          <w:szCs w:val="30"/>
        </w:rPr>
        <w:t>掩模版外协加工</w:t>
      </w:r>
    </w:p>
    <w:p w14:paraId="0A4ED6F0">
      <w:pPr>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项目背景</w:t>
      </w:r>
    </w:p>
    <w:p w14:paraId="7E828178">
      <w:pPr>
        <w:tabs>
          <w:tab w:val="left" w:pos="851"/>
        </w:tabs>
        <w:spacing w:line="360" w:lineRule="auto"/>
        <w:ind w:firstLine="480" w:firstLineChars="200"/>
        <w:rPr>
          <w:rFonts w:cstheme="majorEastAsia"/>
          <w:sz w:val="24"/>
        </w:rPr>
      </w:pPr>
      <w:r>
        <w:rPr>
          <w:rFonts w:hint="eastAsia" w:cstheme="majorEastAsia"/>
          <w:sz w:val="24"/>
        </w:rPr>
        <w:t>采购人课题组主要从事科学研究，</w:t>
      </w:r>
      <w:r>
        <w:rPr>
          <w:rFonts w:cstheme="majorEastAsia"/>
          <w:sz w:val="24"/>
        </w:rPr>
        <w:t xml:space="preserve"> </w:t>
      </w:r>
      <w:r>
        <w:rPr>
          <w:rFonts w:hint="eastAsia" w:cstheme="majorEastAsia"/>
          <w:sz w:val="24"/>
        </w:rPr>
        <w:t>对采购人外协加工服务进行公开招标，确定1名候选供应商有服务资格在中标合同签订之日起一年内，为采购人提供外协加工服务，本次招标不对具体项目实施招标。具体到每次工作任务和具体项目的采购，采购人将根据各中标供应商的特点、实施能力、所报价格、服务态度、服务方案、制造工艺、人员安排等因素，确定最终服务供应商完成。</w:t>
      </w:r>
    </w:p>
    <w:p w14:paraId="385F7C08">
      <w:pPr>
        <w:pStyle w:val="5"/>
        <w:ind w:firstLine="0" w:firstLineChars="0"/>
      </w:pPr>
    </w:p>
    <w:p w14:paraId="4B5F492D">
      <w:pPr>
        <w:widowControl/>
        <w:snapToGrid w:val="0"/>
        <w:spacing w:before="156" w:beforeLines="50" w:line="360" w:lineRule="auto"/>
        <w:rPr>
          <w:b/>
          <w:sz w:val="30"/>
          <w:szCs w:val="30"/>
        </w:rPr>
      </w:pPr>
      <w:r>
        <w:rPr>
          <w:rFonts w:hint="eastAsia"/>
          <w:b/>
          <w:sz w:val="30"/>
          <w:szCs w:val="30"/>
        </w:rPr>
        <w:t>（一）技术要求：</w:t>
      </w:r>
    </w:p>
    <w:p w14:paraId="7092C21C">
      <w:pPr>
        <w:spacing w:before="100" w:beforeAutospacing="1" w:after="100" w:afterAutospacing="1" w:line="360" w:lineRule="auto"/>
        <w:ind w:firstLine="260" w:firstLineChars="100"/>
        <w:rPr>
          <w:rFonts w:cs="宋体"/>
          <w:spacing w:val="10"/>
          <w:sz w:val="24"/>
        </w:rPr>
      </w:pPr>
      <w:r>
        <w:rPr>
          <w:rFonts w:cs="宋体"/>
          <w:spacing w:val="10"/>
          <w:sz w:val="24"/>
        </w:rPr>
        <w:t xml:space="preserve">1.1 </w:t>
      </w:r>
      <w:r>
        <w:rPr>
          <w:rFonts w:hint="eastAsia" w:cs="宋体"/>
          <w:spacing w:val="10"/>
          <w:sz w:val="24"/>
        </w:rPr>
        <w:t>超薄金属吸收层掩模版系列</w:t>
      </w:r>
    </w:p>
    <w:p w14:paraId="492D930C">
      <w:pPr>
        <w:spacing w:before="100" w:beforeAutospacing="1" w:after="100" w:afterAutospacing="1" w:line="360" w:lineRule="auto"/>
        <w:ind w:left="620"/>
        <w:rPr>
          <w:rFonts w:cs="宋体"/>
          <w:spacing w:val="10"/>
          <w:sz w:val="24"/>
        </w:rPr>
      </w:pPr>
      <w:r>
        <w:rPr>
          <w:rFonts w:hint="eastAsia" w:cs="宋体"/>
          <w:spacing w:val="10"/>
          <w:sz w:val="24"/>
        </w:rPr>
        <w:t>指标要求：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3620"/>
        <w:gridCol w:w="3864"/>
      </w:tblGrid>
      <w:tr w14:paraId="3DE8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746F1C55">
            <w:pPr>
              <w:spacing w:line="360" w:lineRule="auto"/>
              <w:jc w:val="center"/>
              <w:rPr>
                <w:rFonts w:cs="宋体"/>
                <w:kern w:val="0"/>
                <w:sz w:val="24"/>
              </w:rPr>
            </w:pPr>
            <w:r>
              <w:rPr>
                <w:rFonts w:hint="eastAsia" w:cs="宋体"/>
                <w:kern w:val="0"/>
                <w:sz w:val="24"/>
              </w:rPr>
              <w:t>序号</w:t>
            </w:r>
          </w:p>
        </w:tc>
        <w:tc>
          <w:tcPr>
            <w:tcW w:w="2124" w:type="pct"/>
          </w:tcPr>
          <w:p w14:paraId="659ED513">
            <w:pPr>
              <w:spacing w:line="360" w:lineRule="auto"/>
              <w:rPr>
                <w:rFonts w:cs="宋体"/>
                <w:kern w:val="0"/>
                <w:sz w:val="24"/>
              </w:rPr>
            </w:pPr>
            <w:r>
              <w:rPr>
                <w:rFonts w:hint="eastAsia" w:cs="宋体"/>
                <w:kern w:val="0"/>
                <w:sz w:val="24"/>
              </w:rPr>
              <w:t>项目</w:t>
            </w:r>
          </w:p>
        </w:tc>
        <w:tc>
          <w:tcPr>
            <w:tcW w:w="2267" w:type="pct"/>
          </w:tcPr>
          <w:p w14:paraId="19611ED5">
            <w:pPr>
              <w:spacing w:line="360" w:lineRule="auto"/>
              <w:rPr>
                <w:rFonts w:cs="宋体"/>
                <w:kern w:val="0"/>
                <w:sz w:val="24"/>
              </w:rPr>
            </w:pPr>
            <w:r>
              <w:rPr>
                <w:rFonts w:hint="eastAsia" w:cs="宋体"/>
                <w:kern w:val="0"/>
                <w:sz w:val="24"/>
              </w:rPr>
              <w:t>规格</w:t>
            </w:r>
          </w:p>
        </w:tc>
      </w:tr>
      <w:tr w14:paraId="2AFD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0178AE0">
            <w:pPr>
              <w:spacing w:line="360" w:lineRule="auto"/>
              <w:jc w:val="center"/>
              <w:rPr>
                <w:rFonts w:cs="宋体"/>
                <w:kern w:val="0"/>
                <w:sz w:val="24"/>
              </w:rPr>
            </w:pPr>
            <w:r>
              <w:rPr>
                <w:rFonts w:cs="宋体"/>
                <w:kern w:val="0"/>
                <w:sz w:val="24"/>
              </w:rPr>
              <w:t xml:space="preserve">1.2.1 </w:t>
            </w:r>
          </w:p>
        </w:tc>
        <w:tc>
          <w:tcPr>
            <w:tcW w:w="2124" w:type="pct"/>
          </w:tcPr>
          <w:p w14:paraId="42376C52">
            <w:pPr>
              <w:spacing w:line="360" w:lineRule="auto"/>
              <w:rPr>
                <w:rFonts w:cs="宋体"/>
                <w:kern w:val="0"/>
                <w:sz w:val="24"/>
              </w:rPr>
            </w:pPr>
            <w:r>
              <w:rPr>
                <w:rFonts w:hint="eastAsia" w:cs="宋体"/>
                <w:kern w:val="0"/>
                <w:sz w:val="24"/>
              </w:rPr>
              <w:t>衬底材料</w:t>
            </w:r>
          </w:p>
        </w:tc>
        <w:tc>
          <w:tcPr>
            <w:tcW w:w="2267" w:type="pct"/>
          </w:tcPr>
          <w:p w14:paraId="6343616D">
            <w:pPr>
              <w:spacing w:line="360" w:lineRule="auto"/>
              <w:rPr>
                <w:rFonts w:cs="宋体"/>
                <w:kern w:val="0"/>
                <w:sz w:val="24"/>
              </w:rPr>
            </w:pPr>
            <w:r>
              <w:rPr>
                <w:rFonts w:cs="宋体"/>
                <w:kern w:val="0"/>
                <w:sz w:val="24"/>
              </w:rPr>
              <w:t>6025</w:t>
            </w:r>
            <w:r>
              <w:rPr>
                <w:rFonts w:hint="eastAsia" w:cs="宋体"/>
                <w:kern w:val="0"/>
                <w:sz w:val="24"/>
              </w:rPr>
              <w:t>规格（1</w:t>
            </w:r>
            <w:r>
              <w:rPr>
                <w:rFonts w:cs="宋体"/>
                <w:kern w:val="0"/>
                <w:sz w:val="24"/>
              </w:rPr>
              <w:t>52mm</w:t>
            </w:r>
            <w:r>
              <w:rPr>
                <w:rFonts w:hint="eastAsia" w:cs="宋体"/>
                <w:kern w:val="0"/>
                <w:sz w:val="24"/>
              </w:rPr>
              <w:t>×</w:t>
            </w:r>
            <w:r>
              <w:rPr>
                <w:rFonts w:cs="宋体"/>
                <w:kern w:val="0"/>
                <w:sz w:val="24"/>
              </w:rPr>
              <w:t>152mm</w:t>
            </w:r>
            <w:r>
              <w:rPr>
                <w:rFonts w:hint="eastAsia" w:cs="宋体"/>
                <w:kern w:val="0"/>
                <w:sz w:val="24"/>
              </w:rPr>
              <w:t>×</w:t>
            </w:r>
            <w:r>
              <w:rPr>
                <w:rFonts w:cs="宋体"/>
                <w:kern w:val="0"/>
                <w:sz w:val="24"/>
              </w:rPr>
              <w:t>6.35mm</w:t>
            </w:r>
            <w:r>
              <w:rPr>
                <w:rFonts w:hint="eastAsia" w:cs="宋体"/>
                <w:kern w:val="0"/>
                <w:sz w:val="24"/>
              </w:rPr>
              <w:t>）石英</w:t>
            </w:r>
          </w:p>
        </w:tc>
      </w:tr>
      <w:tr w14:paraId="66F9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580D6CA9">
            <w:pPr>
              <w:spacing w:line="360" w:lineRule="auto"/>
              <w:jc w:val="center"/>
              <w:rPr>
                <w:rFonts w:cs="宋体"/>
                <w:kern w:val="0"/>
                <w:sz w:val="24"/>
              </w:rPr>
            </w:pPr>
            <w:r>
              <w:rPr>
                <w:rFonts w:cs="宋体"/>
                <w:kern w:val="0"/>
                <w:sz w:val="24"/>
              </w:rPr>
              <w:t xml:space="preserve">1.2.2 </w:t>
            </w:r>
          </w:p>
        </w:tc>
        <w:tc>
          <w:tcPr>
            <w:tcW w:w="2124" w:type="pct"/>
          </w:tcPr>
          <w:p w14:paraId="160E669D">
            <w:pPr>
              <w:spacing w:line="360" w:lineRule="auto"/>
              <w:rPr>
                <w:rFonts w:cs="宋体"/>
                <w:kern w:val="0"/>
                <w:sz w:val="24"/>
              </w:rPr>
            </w:pPr>
            <w:r>
              <w:rPr>
                <w:rFonts w:hint="eastAsia" w:cs="宋体"/>
                <w:kern w:val="0"/>
                <w:sz w:val="24"/>
              </w:rPr>
              <w:t>金属吸收层材料厚度</w:t>
            </w:r>
          </w:p>
        </w:tc>
        <w:tc>
          <w:tcPr>
            <w:tcW w:w="2267" w:type="pct"/>
          </w:tcPr>
          <w:p w14:paraId="418358FF">
            <w:pPr>
              <w:spacing w:line="360" w:lineRule="auto"/>
              <w:rPr>
                <w:rFonts w:cs="宋体"/>
                <w:kern w:val="0"/>
                <w:sz w:val="24"/>
              </w:rPr>
            </w:pPr>
            <w:r>
              <w:rPr>
                <w:rFonts w:hint="eastAsia" w:cs="宋体"/>
                <w:kern w:val="0"/>
                <w:sz w:val="24"/>
              </w:rPr>
              <w:t xml:space="preserve">≤ </w:t>
            </w:r>
            <w:r>
              <w:rPr>
                <w:rFonts w:cs="宋体"/>
                <w:kern w:val="0"/>
                <w:sz w:val="24"/>
              </w:rPr>
              <w:t>7</w:t>
            </w:r>
            <w:r>
              <w:rPr>
                <w:rFonts w:hint="eastAsia" w:cs="宋体"/>
                <w:kern w:val="0"/>
                <w:sz w:val="24"/>
              </w:rPr>
              <w:t>0nm</w:t>
            </w:r>
          </w:p>
        </w:tc>
      </w:tr>
      <w:tr w14:paraId="311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FB132AD">
            <w:pPr>
              <w:spacing w:line="360" w:lineRule="auto"/>
              <w:jc w:val="center"/>
              <w:rPr>
                <w:rFonts w:cs="宋体"/>
                <w:kern w:val="0"/>
                <w:sz w:val="24"/>
              </w:rPr>
            </w:pPr>
            <w:r>
              <w:rPr>
                <w:rFonts w:hint="eastAsia" w:ascii="宋体" w:hAnsi="宋体" w:cs="宋体"/>
                <w:bCs/>
                <w:kern w:val="0"/>
                <w:sz w:val="24"/>
              </w:rPr>
              <w:t>★</w:t>
            </w:r>
            <w:r>
              <w:rPr>
                <w:rFonts w:cs="宋体"/>
                <w:kern w:val="0"/>
                <w:sz w:val="24"/>
              </w:rPr>
              <w:t xml:space="preserve">1.2.3 </w:t>
            </w:r>
          </w:p>
        </w:tc>
        <w:tc>
          <w:tcPr>
            <w:tcW w:w="2124" w:type="pct"/>
          </w:tcPr>
          <w:p w14:paraId="6BF1EAC4">
            <w:pPr>
              <w:spacing w:line="360" w:lineRule="auto"/>
              <w:rPr>
                <w:rFonts w:cs="宋体"/>
                <w:kern w:val="0"/>
                <w:sz w:val="24"/>
              </w:rPr>
            </w:pPr>
            <w:r>
              <w:rPr>
                <w:rFonts w:hint="eastAsia" w:cs="宋体"/>
                <w:kern w:val="0"/>
                <w:sz w:val="24"/>
              </w:rPr>
              <w:t>掩模最小特征尺寸</w:t>
            </w:r>
          </w:p>
        </w:tc>
        <w:tc>
          <w:tcPr>
            <w:tcW w:w="2267" w:type="pct"/>
          </w:tcPr>
          <w:p w14:paraId="3AC84BD4">
            <w:pPr>
              <w:spacing w:line="360" w:lineRule="auto"/>
              <w:rPr>
                <w:rFonts w:cs="宋体"/>
                <w:kern w:val="0"/>
                <w:sz w:val="24"/>
              </w:rPr>
            </w:pPr>
            <w:r>
              <w:rPr>
                <w:rFonts w:hint="eastAsia" w:cs="宋体"/>
                <w:kern w:val="0"/>
                <w:sz w:val="24"/>
              </w:rPr>
              <w:t>≤</w:t>
            </w:r>
            <w:r>
              <w:rPr>
                <w:rFonts w:cs="宋体"/>
                <w:kern w:val="0"/>
                <w:sz w:val="24"/>
              </w:rPr>
              <w:t>50</w:t>
            </w:r>
            <w:r>
              <w:rPr>
                <w:rFonts w:hint="eastAsia" w:cs="宋体"/>
                <w:kern w:val="0"/>
                <w:sz w:val="24"/>
              </w:rPr>
              <w:t>nm</w:t>
            </w:r>
          </w:p>
        </w:tc>
      </w:tr>
      <w:tr w14:paraId="20AC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2768EE5">
            <w:pPr>
              <w:spacing w:line="360" w:lineRule="auto"/>
              <w:jc w:val="center"/>
              <w:rPr>
                <w:rFonts w:cs="宋体"/>
                <w:kern w:val="0"/>
                <w:sz w:val="24"/>
              </w:rPr>
            </w:pPr>
            <w:r>
              <w:rPr>
                <w:rFonts w:cs="宋体"/>
                <w:kern w:val="0"/>
                <w:sz w:val="24"/>
              </w:rPr>
              <w:t xml:space="preserve">1.2.4 </w:t>
            </w:r>
          </w:p>
        </w:tc>
        <w:tc>
          <w:tcPr>
            <w:tcW w:w="2124" w:type="pct"/>
          </w:tcPr>
          <w:p w14:paraId="69549220">
            <w:pPr>
              <w:spacing w:line="360" w:lineRule="auto"/>
              <w:rPr>
                <w:rFonts w:cs="宋体"/>
                <w:kern w:val="0"/>
                <w:sz w:val="24"/>
              </w:rPr>
            </w:pPr>
            <w:r>
              <w:rPr>
                <w:rFonts w:hint="eastAsia" w:cs="宋体"/>
                <w:kern w:val="0"/>
                <w:sz w:val="24"/>
              </w:rPr>
              <w:t>主图形线宽偏差</w:t>
            </w:r>
          </w:p>
        </w:tc>
        <w:tc>
          <w:tcPr>
            <w:tcW w:w="2267" w:type="pct"/>
          </w:tcPr>
          <w:p w14:paraId="6C76B289">
            <w:pPr>
              <w:spacing w:line="360" w:lineRule="auto"/>
              <w:rPr>
                <w:rFonts w:cs="宋体"/>
                <w:kern w:val="0"/>
                <w:sz w:val="24"/>
              </w:rPr>
            </w:pPr>
            <w:r>
              <w:rPr>
                <w:rFonts w:hint="eastAsia" w:cs="宋体"/>
                <w:kern w:val="0"/>
                <w:sz w:val="24"/>
              </w:rPr>
              <w:t>≤±5nm</w:t>
            </w:r>
          </w:p>
        </w:tc>
      </w:tr>
      <w:tr w14:paraId="05A6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49F21E7">
            <w:pPr>
              <w:spacing w:line="360" w:lineRule="auto"/>
              <w:jc w:val="center"/>
              <w:rPr>
                <w:rFonts w:cs="宋体"/>
                <w:kern w:val="0"/>
                <w:sz w:val="24"/>
              </w:rPr>
            </w:pPr>
            <w:r>
              <w:rPr>
                <w:rFonts w:cs="宋体"/>
                <w:kern w:val="0"/>
                <w:sz w:val="24"/>
              </w:rPr>
              <w:t xml:space="preserve">1.2.5 </w:t>
            </w:r>
          </w:p>
        </w:tc>
        <w:tc>
          <w:tcPr>
            <w:tcW w:w="2124" w:type="pct"/>
            <w:vAlign w:val="center"/>
          </w:tcPr>
          <w:p w14:paraId="67E4591B">
            <w:pPr>
              <w:spacing w:line="360" w:lineRule="auto"/>
              <w:rPr>
                <w:rFonts w:cs="宋体"/>
                <w:kern w:val="0"/>
                <w:sz w:val="24"/>
              </w:rPr>
            </w:pPr>
            <w:r>
              <w:rPr>
                <w:rFonts w:hint="eastAsia" w:cs="宋体"/>
                <w:kern w:val="0"/>
                <w:sz w:val="24"/>
              </w:rPr>
              <w:t>主图形线宽均匀性（不小于</w:t>
            </w:r>
            <w:r>
              <w:rPr>
                <w:rFonts w:cs="宋体"/>
                <w:kern w:val="0"/>
                <w:sz w:val="24"/>
              </w:rPr>
              <w:t>30</w:t>
            </w:r>
            <w:r>
              <w:rPr>
                <w:rFonts w:hint="eastAsia" w:cs="宋体"/>
                <w:kern w:val="0"/>
                <w:sz w:val="24"/>
              </w:rPr>
              <w:t>组）</w:t>
            </w:r>
          </w:p>
        </w:tc>
        <w:tc>
          <w:tcPr>
            <w:tcW w:w="2267" w:type="pct"/>
            <w:vAlign w:val="center"/>
          </w:tcPr>
          <w:p w14:paraId="3E3B57DF">
            <w:pPr>
              <w:spacing w:line="360" w:lineRule="auto"/>
              <w:rPr>
                <w:rFonts w:cs="宋体"/>
                <w:kern w:val="0"/>
                <w:sz w:val="24"/>
              </w:rPr>
            </w:pPr>
            <w:r>
              <w:rPr>
                <w:rFonts w:hint="eastAsia" w:cs="宋体"/>
                <w:kern w:val="0"/>
                <w:sz w:val="24"/>
              </w:rPr>
              <w:t>≤9nm</w:t>
            </w:r>
          </w:p>
        </w:tc>
      </w:tr>
      <w:tr w14:paraId="47E6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BC17891">
            <w:pPr>
              <w:spacing w:line="360" w:lineRule="auto"/>
              <w:jc w:val="center"/>
              <w:rPr>
                <w:rFonts w:cs="宋体"/>
                <w:kern w:val="0"/>
                <w:sz w:val="24"/>
              </w:rPr>
            </w:pPr>
            <w:r>
              <w:rPr>
                <w:rFonts w:hint="eastAsia" w:ascii="宋体" w:hAnsi="宋体" w:cs="宋体"/>
                <w:bCs/>
                <w:kern w:val="0"/>
                <w:sz w:val="24"/>
              </w:rPr>
              <w:t>★</w:t>
            </w:r>
            <w:r>
              <w:rPr>
                <w:rFonts w:cs="宋体"/>
                <w:kern w:val="0"/>
                <w:sz w:val="24"/>
              </w:rPr>
              <w:t xml:space="preserve">1.2.6 </w:t>
            </w:r>
          </w:p>
        </w:tc>
        <w:tc>
          <w:tcPr>
            <w:tcW w:w="2124" w:type="pct"/>
          </w:tcPr>
          <w:p w14:paraId="783B3FEB">
            <w:pPr>
              <w:spacing w:line="360" w:lineRule="auto"/>
              <w:rPr>
                <w:rFonts w:cs="宋体"/>
                <w:kern w:val="0"/>
                <w:sz w:val="24"/>
              </w:rPr>
            </w:pPr>
            <w:r>
              <w:rPr>
                <w:rFonts w:hint="eastAsia" w:cs="宋体"/>
                <w:kern w:val="0"/>
                <w:sz w:val="24"/>
              </w:rPr>
              <w:t>位置误差精度</w:t>
            </w:r>
          </w:p>
        </w:tc>
        <w:tc>
          <w:tcPr>
            <w:tcW w:w="2267" w:type="pct"/>
          </w:tcPr>
          <w:p w14:paraId="14101448">
            <w:pPr>
              <w:spacing w:line="360" w:lineRule="auto"/>
              <w:rPr>
                <w:rFonts w:cs="宋体"/>
                <w:kern w:val="0"/>
                <w:sz w:val="24"/>
              </w:rPr>
            </w:pPr>
            <w:r>
              <w:rPr>
                <w:rFonts w:hint="eastAsia" w:cs="宋体"/>
                <w:kern w:val="0"/>
                <w:sz w:val="24"/>
              </w:rPr>
              <w:t xml:space="preserve">≤ </w:t>
            </w:r>
            <w:r>
              <w:rPr>
                <w:rFonts w:cs="宋体"/>
                <w:kern w:val="0"/>
                <w:sz w:val="24"/>
              </w:rPr>
              <w:t>4</w:t>
            </w:r>
            <w:r>
              <w:rPr>
                <w:rFonts w:hint="eastAsia" w:cs="宋体"/>
                <w:kern w:val="0"/>
                <w:sz w:val="24"/>
              </w:rPr>
              <w:t>nm</w:t>
            </w:r>
          </w:p>
        </w:tc>
      </w:tr>
      <w:tr w14:paraId="6BC8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7DAD1258">
            <w:pPr>
              <w:spacing w:line="360" w:lineRule="auto"/>
              <w:jc w:val="center"/>
              <w:rPr>
                <w:rFonts w:cs="宋体"/>
                <w:kern w:val="0"/>
                <w:sz w:val="24"/>
              </w:rPr>
            </w:pPr>
            <w:r>
              <w:rPr>
                <w:rFonts w:cs="宋体"/>
                <w:kern w:val="0"/>
                <w:sz w:val="24"/>
              </w:rPr>
              <w:t xml:space="preserve">1.2.7 </w:t>
            </w:r>
          </w:p>
        </w:tc>
        <w:tc>
          <w:tcPr>
            <w:tcW w:w="2124" w:type="pct"/>
          </w:tcPr>
          <w:p w14:paraId="73A5B154">
            <w:pPr>
              <w:spacing w:line="360" w:lineRule="auto"/>
              <w:rPr>
                <w:rFonts w:cs="宋体"/>
                <w:kern w:val="0"/>
                <w:sz w:val="24"/>
              </w:rPr>
            </w:pPr>
            <w:r>
              <w:rPr>
                <w:rFonts w:hint="eastAsia" w:cs="宋体"/>
                <w:kern w:val="0"/>
                <w:sz w:val="24"/>
              </w:rPr>
              <w:t>产品平整度</w:t>
            </w:r>
          </w:p>
        </w:tc>
        <w:tc>
          <w:tcPr>
            <w:tcW w:w="2267" w:type="pct"/>
          </w:tcPr>
          <w:p w14:paraId="3690CAFE">
            <w:pPr>
              <w:spacing w:line="360" w:lineRule="auto"/>
              <w:rPr>
                <w:rFonts w:cs="宋体"/>
                <w:kern w:val="0"/>
                <w:sz w:val="24"/>
              </w:rPr>
            </w:pPr>
            <w:r>
              <w:rPr>
                <w:rFonts w:hint="eastAsia" w:cs="宋体"/>
                <w:kern w:val="0"/>
                <w:sz w:val="24"/>
              </w:rPr>
              <w:t>≤ 0.5</w:t>
            </w:r>
            <w:r>
              <w:rPr>
                <w:kern w:val="0"/>
                <w:sz w:val="24"/>
              </w:rPr>
              <w:t>μ</w:t>
            </w:r>
            <w:r>
              <w:rPr>
                <w:rFonts w:hint="eastAsia" w:cs="宋体"/>
                <w:kern w:val="0"/>
                <w:sz w:val="24"/>
              </w:rPr>
              <w:t>m</w:t>
            </w:r>
          </w:p>
        </w:tc>
      </w:tr>
      <w:tr w14:paraId="7A9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7D3C904A">
            <w:pPr>
              <w:spacing w:line="360" w:lineRule="auto"/>
              <w:jc w:val="center"/>
              <w:rPr>
                <w:rFonts w:cs="宋体"/>
                <w:kern w:val="0"/>
                <w:sz w:val="24"/>
              </w:rPr>
            </w:pPr>
            <w:r>
              <w:rPr>
                <w:rFonts w:cs="宋体"/>
                <w:kern w:val="0"/>
                <w:sz w:val="24"/>
              </w:rPr>
              <w:t xml:space="preserve">1.2.8 </w:t>
            </w:r>
          </w:p>
        </w:tc>
        <w:tc>
          <w:tcPr>
            <w:tcW w:w="2124" w:type="pct"/>
          </w:tcPr>
          <w:p w14:paraId="1778752D">
            <w:pPr>
              <w:spacing w:line="360" w:lineRule="auto"/>
              <w:rPr>
                <w:rFonts w:cs="宋体"/>
                <w:kern w:val="0"/>
                <w:sz w:val="24"/>
              </w:rPr>
            </w:pPr>
            <w:r>
              <w:rPr>
                <w:rFonts w:hint="eastAsia" w:cs="宋体"/>
                <w:kern w:val="0"/>
                <w:sz w:val="24"/>
              </w:rPr>
              <w:t>表面缺陷</w:t>
            </w:r>
          </w:p>
        </w:tc>
        <w:tc>
          <w:tcPr>
            <w:tcW w:w="2267" w:type="pct"/>
          </w:tcPr>
          <w:p w14:paraId="0333F06E">
            <w:pPr>
              <w:spacing w:line="360" w:lineRule="auto"/>
              <w:rPr>
                <w:rFonts w:cs="宋体"/>
                <w:kern w:val="0"/>
                <w:sz w:val="24"/>
              </w:rPr>
            </w:pPr>
            <w:r>
              <w:rPr>
                <w:rFonts w:hint="eastAsia" w:cs="宋体"/>
                <w:kern w:val="0"/>
                <w:sz w:val="24"/>
              </w:rPr>
              <w:t>≥ 75nm，0颗</w:t>
            </w:r>
          </w:p>
        </w:tc>
      </w:tr>
    </w:tbl>
    <w:p w14:paraId="3583BF0B">
      <w:pPr>
        <w:spacing w:before="100" w:beforeAutospacing="1" w:after="100" w:afterAutospacing="1" w:line="360" w:lineRule="auto"/>
        <w:ind w:firstLine="260" w:firstLineChars="100"/>
        <w:rPr>
          <w:rFonts w:cs="宋体"/>
          <w:spacing w:val="10"/>
          <w:sz w:val="24"/>
        </w:rPr>
      </w:pPr>
      <w:r>
        <w:rPr>
          <w:rFonts w:cs="宋体"/>
          <w:spacing w:val="10"/>
          <w:sz w:val="24"/>
        </w:rPr>
        <w:t xml:space="preserve">1.2 </w:t>
      </w:r>
      <w:r>
        <w:rPr>
          <w:rFonts w:hint="eastAsia" w:cs="宋体"/>
          <w:spacing w:val="10"/>
          <w:sz w:val="24"/>
        </w:rPr>
        <w:t>产品交付要求</w:t>
      </w:r>
    </w:p>
    <w:p w14:paraId="5FA7FE72">
      <w:pPr>
        <w:spacing w:before="100" w:beforeAutospacing="1" w:after="100" w:afterAutospacing="1"/>
        <w:ind w:firstLine="520" w:firstLineChars="200"/>
        <w:rPr>
          <w:rFonts w:cs="宋体"/>
          <w:spacing w:val="10"/>
          <w:sz w:val="24"/>
        </w:rPr>
      </w:pPr>
      <w:r>
        <w:rPr>
          <w:rFonts w:cs="宋体"/>
          <w:spacing w:val="10"/>
          <w:sz w:val="24"/>
        </w:rPr>
        <w:t xml:space="preserve">1.3.1 </w:t>
      </w:r>
      <w:r>
        <w:rPr>
          <w:rFonts w:hint="eastAsia" w:cs="宋体"/>
          <w:spacing w:val="10"/>
          <w:sz w:val="24"/>
        </w:rPr>
        <w:t xml:space="preserve">交付超薄吸收层金属掩模版数量不少于 </w:t>
      </w:r>
      <w:r>
        <w:rPr>
          <w:rFonts w:cs="宋体"/>
          <w:spacing w:val="10"/>
          <w:sz w:val="24"/>
        </w:rPr>
        <w:t>10</w:t>
      </w:r>
      <w:r>
        <w:rPr>
          <w:rFonts w:hint="eastAsia" w:cs="宋体"/>
          <w:spacing w:val="10"/>
          <w:sz w:val="24"/>
        </w:rPr>
        <w:t>块</w:t>
      </w:r>
    </w:p>
    <w:p w14:paraId="4AD955C6">
      <w:pPr>
        <w:spacing w:before="100" w:beforeAutospacing="1" w:after="100" w:afterAutospacing="1"/>
        <w:ind w:firstLine="520" w:firstLineChars="200"/>
        <w:rPr>
          <w:rFonts w:cs="宋体"/>
          <w:spacing w:val="10"/>
          <w:sz w:val="24"/>
        </w:rPr>
      </w:pPr>
      <w:r>
        <w:rPr>
          <w:rFonts w:cs="宋体"/>
          <w:spacing w:val="10"/>
          <w:sz w:val="24"/>
        </w:rPr>
        <w:t>1.</w:t>
      </w:r>
      <w:r>
        <w:rPr>
          <w:rFonts w:hint="eastAsia" w:cs="宋体"/>
          <w:spacing w:val="10"/>
          <w:sz w:val="24"/>
        </w:rPr>
        <w:t>3</w:t>
      </w:r>
      <w:r>
        <w:rPr>
          <w:rFonts w:cs="宋体"/>
          <w:spacing w:val="10"/>
          <w:sz w:val="24"/>
        </w:rPr>
        <w:t xml:space="preserve">.2 </w:t>
      </w:r>
      <w:r>
        <w:rPr>
          <w:rFonts w:hint="eastAsia" w:cs="宋体"/>
          <w:spacing w:val="10"/>
          <w:sz w:val="24"/>
        </w:rPr>
        <w:t>交付日期：版图出图后2个月内交付掩模版</w:t>
      </w:r>
    </w:p>
    <w:p w14:paraId="0EBC5829">
      <w:pPr>
        <w:spacing w:before="100" w:beforeAutospacing="1" w:after="100" w:afterAutospacing="1"/>
        <w:ind w:firstLine="520" w:firstLineChars="200"/>
        <w:rPr>
          <w:rFonts w:cs="宋体"/>
          <w:spacing w:val="10"/>
          <w:sz w:val="24"/>
        </w:rPr>
      </w:pPr>
      <w:r>
        <w:rPr>
          <w:rFonts w:hint="eastAsia" w:ascii="宋体" w:hAnsi="宋体" w:cs="宋体"/>
          <w:spacing w:val="10"/>
          <w:sz w:val="24"/>
        </w:rPr>
        <w:t>▲</w:t>
      </w:r>
      <w:r>
        <w:rPr>
          <w:rFonts w:cs="宋体"/>
          <w:spacing w:val="10"/>
          <w:sz w:val="24"/>
        </w:rPr>
        <w:t xml:space="preserve">1.3.3 </w:t>
      </w:r>
      <w:r>
        <w:rPr>
          <w:rFonts w:hint="eastAsia" w:cs="宋体"/>
          <w:spacing w:val="10"/>
          <w:sz w:val="24"/>
        </w:rPr>
        <w:t>检测报告或合格证必须包含技术指标检测结果或测试报告</w:t>
      </w:r>
    </w:p>
    <w:p w14:paraId="1B155783">
      <w:pPr>
        <w:widowControl/>
        <w:ind w:firstLine="450"/>
        <w:jc w:val="left"/>
        <w:rPr>
          <w:rFonts w:hAnsi="宋体" w:cs="宋体"/>
          <w:color w:val="000000"/>
          <w:kern w:val="0"/>
          <w:sz w:val="22"/>
          <w:szCs w:val="22"/>
          <w:lang w:bidi="ar"/>
        </w:rPr>
      </w:pPr>
    </w:p>
    <w:p w14:paraId="3303912B">
      <w:pPr>
        <w:widowControl/>
        <w:snapToGrid w:val="0"/>
        <w:spacing w:before="156" w:beforeLines="50" w:line="360" w:lineRule="auto"/>
        <w:rPr>
          <w:b/>
          <w:sz w:val="30"/>
          <w:szCs w:val="30"/>
        </w:rPr>
      </w:pPr>
      <w:r>
        <w:rPr>
          <w:rFonts w:hint="eastAsia"/>
          <w:b/>
          <w:sz w:val="30"/>
          <w:szCs w:val="30"/>
        </w:rPr>
        <w:t>（二）商务要求：</w:t>
      </w:r>
    </w:p>
    <w:p w14:paraId="3D630DE9">
      <w:pPr>
        <w:spacing w:after="156" w:afterLines="50" w:line="360" w:lineRule="auto"/>
        <w:rPr>
          <w:rFonts w:cs="宋体"/>
          <w:b/>
          <w:sz w:val="24"/>
        </w:rPr>
      </w:pPr>
      <w:r>
        <w:rPr>
          <w:rFonts w:hint="eastAsia" w:cs="宋体"/>
          <w:b/>
          <w:sz w:val="24"/>
        </w:rPr>
        <w:t>2</w:t>
      </w:r>
      <w:r>
        <w:rPr>
          <w:rFonts w:cs="宋体"/>
          <w:b/>
          <w:sz w:val="24"/>
        </w:rPr>
        <w:t xml:space="preserve">.1 </w:t>
      </w:r>
      <w:r>
        <w:rPr>
          <w:rFonts w:hint="eastAsia" w:cs="宋体"/>
          <w:b/>
          <w:sz w:val="24"/>
        </w:rPr>
        <w:t>技术服务</w:t>
      </w:r>
    </w:p>
    <w:p w14:paraId="1C196B94">
      <w:pPr>
        <w:widowControl/>
        <w:spacing w:before="156" w:beforeLines="50" w:line="360" w:lineRule="auto"/>
        <w:ind w:firstLine="240" w:firstLineChars="100"/>
        <w:rPr>
          <w:sz w:val="24"/>
        </w:rPr>
      </w:pPr>
      <w:r>
        <w:rPr>
          <w:sz w:val="24"/>
        </w:rPr>
        <w:t xml:space="preserve">2.1.1 </w:t>
      </w:r>
      <w:r>
        <w:rPr>
          <w:rFonts w:hint="eastAsia"/>
          <w:sz w:val="24"/>
        </w:rPr>
        <w:t>售后服务要求：</w:t>
      </w:r>
    </w:p>
    <w:p w14:paraId="1640CEA1">
      <w:pPr>
        <w:widowControl/>
        <w:tabs>
          <w:tab w:val="left" w:pos="1500"/>
        </w:tabs>
        <w:spacing w:before="156" w:beforeLines="50" w:line="360" w:lineRule="auto"/>
        <w:ind w:firstLine="480" w:firstLineChars="200"/>
        <w:jc w:val="left"/>
        <w:rPr>
          <w:sz w:val="24"/>
        </w:rPr>
      </w:pPr>
      <w:r>
        <w:rPr>
          <w:rFonts w:hint="eastAsia"/>
          <w:sz w:val="24"/>
        </w:rPr>
        <w:t>2</w:t>
      </w:r>
      <w:r>
        <w:rPr>
          <w:sz w:val="24"/>
        </w:rPr>
        <w:t xml:space="preserve">.1.1.1 </w:t>
      </w:r>
      <w:r>
        <w:rPr>
          <w:rFonts w:hint="eastAsia"/>
          <w:sz w:val="24"/>
        </w:rPr>
        <w:t>投标方需为本项目配备足够的售后服务力量，具有国内本地化的服务团队。</w:t>
      </w:r>
    </w:p>
    <w:p w14:paraId="4F43C35D">
      <w:pPr>
        <w:widowControl/>
        <w:tabs>
          <w:tab w:val="left" w:pos="1500"/>
        </w:tabs>
        <w:spacing w:before="156" w:beforeLines="50" w:line="360" w:lineRule="auto"/>
        <w:ind w:firstLine="480" w:firstLineChars="200"/>
        <w:jc w:val="left"/>
        <w:rPr>
          <w:sz w:val="24"/>
        </w:rPr>
      </w:pPr>
      <w:r>
        <w:rPr>
          <w:rFonts w:hint="eastAsia"/>
          <w:sz w:val="24"/>
        </w:rPr>
        <w:t>2</w:t>
      </w:r>
      <w:r>
        <w:rPr>
          <w:sz w:val="24"/>
        </w:rPr>
        <w:t>.1.1.2</w:t>
      </w:r>
      <w:r>
        <w:rPr>
          <w:rFonts w:hint="eastAsia"/>
          <w:sz w:val="24"/>
        </w:rPr>
        <w:t>投标方售后服务响应时间：电话响应时间要求24小时内，到场响应时间要求2个工作日内（指从接到报障至到达故障现场的时间）。</w:t>
      </w:r>
    </w:p>
    <w:p w14:paraId="75AAAE8F">
      <w:pPr>
        <w:widowControl/>
        <w:tabs>
          <w:tab w:val="left" w:pos="1500"/>
        </w:tabs>
        <w:spacing w:before="156" w:beforeLines="50" w:line="360" w:lineRule="auto"/>
        <w:ind w:firstLine="480" w:firstLineChars="200"/>
        <w:jc w:val="left"/>
        <w:rPr>
          <w:sz w:val="24"/>
        </w:rPr>
      </w:pPr>
      <w:r>
        <w:rPr>
          <w:rFonts w:hint="eastAsia"/>
          <w:sz w:val="24"/>
        </w:rPr>
        <w:t>2</w:t>
      </w:r>
      <w:r>
        <w:rPr>
          <w:sz w:val="24"/>
        </w:rPr>
        <w:t>.1.1.3</w:t>
      </w:r>
      <w:r>
        <w:rPr>
          <w:rFonts w:hint="eastAsia"/>
          <w:sz w:val="24"/>
        </w:rPr>
        <w:t>投标方免费提供技术支持热线电话。</w:t>
      </w:r>
    </w:p>
    <w:p w14:paraId="2FF793BE">
      <w:pPr>
        <w:widowControl/>
        <w:tabs>
          <w:tab w:val="left" w:pos="1500"/>
        </w:tabs>
        <w:spacing w:before="156" w:beforeLines="50" w:line="360" w:lineRule="auto"/>
        <w:ind w:firstLine="480" w:firstLineChars="200"/>
        <w:jc w:val="left"/>
        <w:rPr>
          <w:sz w:val="24"/>
        </w:rPr>
      </w:pPr>
      <w:r>
        <w:rPr>
          <w:rFonts w:hint="eastAsia"/>
          <w:sz w:val="24"/>
        </w:rPr>
        <w:t>2</w:t>
      </w:r>
      <w:r>
        <w:rPr>
          <w:sz w:val="24"/>
        </w:rPr>
        <w:t>.1.1.4</w:t>
      </w:r>
      <w:r>
        <w:rPr>
          <w:rFonts w:hint="eastAsia"/>
          <w:sz w:val="24"/>
        </w:rPr>
        <w:t>投标方免费提供Email技术支持，并且在24小时内回复。</w:t>
      </w:r>
    </w:p>
    <w:p w14:paraId="47EBBA29">
      <w:pPr>
        <w:widowControl/>
        <w:tabs>
          <w:tab w:val="left" w:pos="1500"/>
        </w:tabs>
        <w:spacing w:before="156" w:beforeLines="50" w:line="360" w:lineRule="auto"/>
        <w:ind w:firstLine="480" w:firstLineChars="200"/>
        <w:jc w:val="left"/>
        <w:rPr>
          <w:sz w:val="24"/>
        </w:rPr>
      </w:pPr>
      <w:r>
        <w:rPr>
          <w:rFonts w:hint="eastAsia"/>
          <w:sz w:val="24"/>
        </w:rPr>
        <w:t>2</w:t>
      </w:r>
      <w:r>
        <w:rPr>
          <w:sz w:val="24"/>
        </w:rPr>
        <w:t>.1.1.5</w:t>
      </w:r>
      <w:r>
        <w:rPr>
          <w:rFonts w:hint="eastAsia"/>
          <w:sz w:val="24"/>
        </w:rPr>
        <w:t>投标方提供技术使用说明书，并指导在使用时的注意事项等。</w:t>
      </w:r>
    </w:p>
    <w:p w14:paraId="3951A471">
      <w:pPr>
        <w:widowControl/>
        <w:spacing w:before="156" w:beforeLines="50" w:line="360" w:lineRule="auto"/>
        <w:ind w:firstLine="241" w:firstLineChars="100"/>
        <w:rPr>
          <w:rFonts w:ascii="宋体" w:hAnsi="宋体"/>
          <w:b/>
          <w:sz w:val="24"/>
        </w:rPr>
      </w:pPr>
    </w:p>
    <w:p w14:paraId="0C1E4BF6">
      <w:pPr>
        <w:spacing w:after="156" w:afterLines="50" w:line="360" w:lineRule="auto"/>
        <w:rPr>
          <w:rFonts w:cs="宋体"/>
          <w:b/>
          <w:sz w:val="24"/>
        </w:rPr>
      </w:pPr>
      <w:r>
        <w:rPr>
          <w:rFonts w:hint="eastAsia" w:cs="宋体"/>
          <w:b/>
          <w:sz w:val="24"/>
        </w:rPr>
        <w:t>2</w:t>
      </w:r>
      <w:r>
        <w:rPr>
          <w:rFonts w:cs="宋体"/>
          <w:b/>
          <w:sz w:val="24"/>
        </w:rPr>
        <w:t>.2</w:t>
      </w:r>
      <w:r>
        <w:rPr>
          <w:rFonts w:hint="eastAsia" w:cs="宋体"/>
          <w:b/>
          <w:sz w:val="24"/>
        </w:rPr>
        <w:t>包装要求：</w:t>
      </w:r>
    </w:p>
    <w:p w14:paraId="0154C5BB">
      <w:pPr>
        <w:spacing w:after="156" w:afterLines="50" w:line="360" w:lineRule="auto"/>
        <w:ind w:firstLine="480" w:firstLineChars="200"/>
        <w:rPr>
          <w:rFonts w:ascii="宋体" w:hAnsi="宋体"/>
          <w:sz w:val="24"/>
        </w:rPr>
      </w:pPr>
      <w:r>
        <w:rPr>
          <w:rFonts w:hint="eastAsia" w:ascii="宋体" w:hAnsi="宋体"/>
          <w:sz w:val="24"/>
        </w:rPr>
        <w:t>应使用崭新坚固的包装（标准包装），适合于空运、或陆运等长途运输方式；适合气候变化；投标商应对任何由于不当包装或防护措施不利而导致的商品损坏、损失、费用增长等后果负责。</w:t>
      </w:r>
    </w:p>
    <w:p w14:paraId="2C32549A">
      <w:pPr>
        <w:spacing w:after="156" w:afterLines="50" w:line="360" w:lineRule="auto"/>
        <w:ind w:firstLine="480" w:firstLineChars="200"/>
        <w:rPr>
          <w:rFonts w:ascii="宋体" w:hAnsi="宋体"/>
          <w:sz w:val="24"/>
        </w:rPr>
      </w:pPr>
    </w:p>
    <w:p w14:paraId="21E45E3B">
      <w:pPr>
        <w:spacing w:after="156" w:afterLines="50" w:line="360" w:lineRule="auto"/>
        <w:rPr>
          <w:rFonts w:cs="宋体"/>
          <w:b/>
          <w:sz w:val="24"/>
        </w:rPr>
      </w:pPr>
      <w:r>
        <w:rPr>
          <w:rFonts w:hint="eastAsia" w:cs="宋体"/>
          <w:b/>
          <w:sz w:val="24"/>
        </w:rPr>
        <w:t>2</w:t>
      </w:r>
      <w:r>
        <w:rPr>
          <w:rFonts w:cs="宋体"/>
          <w:b/>
          <w:sz w:val="24"/>
        </w:rPr>
        <w:t>.3</w:t>
      </w:r>
      <w:r>
        <w:rPr>
          <w:rFonts w:hint="eastAsia" w:cs="宋体"/>
          <w:b/>
          <w:sz w:val="24"/>
        </w:rPr>
        <w:t>服务期</w:t>
      </w:r>
    </w:p>
    <w:p w14:paraId="64FF94B3">
      <w:pPr>
        <w:spacing w:after="156" w:afterLines="50" w:line="360" w:lineRule="auto"/>
        <w:rPr>
          <w:rFonts w:ascii="宋体" w:hAnsi="宋体" w:cs="宋体"/>
          <w:sz w:val="24"/>
        </w:rPr>
      </w:pPr>
      <w:r>
        <w:rPr>
          <w:rFonts w:hint="eastAsia" w:ascii="宋体" w:hAnsi="宋体" w:cs="宋体"/>
          <w:sz w:val="24"/>
        </w:rPr>
        <w:t>合同签订之日起一年。</w:t>
      </w:r>
    </w:p>
    <w:p w14:paraId="00198F61">
      <w:pPr>
        <w:spacing w:after="156" w:afterLines="50" w:line="360" w:lineRule="auto"/>
        <w:rPr>
          <w:rFonts w:ascii="宋体" w:hAnsi="宋体" w:cs="宋体"/>
          <w:b/>
          <w:sz w:val="24"/>
        </w:rPr>
      </w:pPr>
    </w:p>
    <w:p w14:paraId="6F9E35C8">
      <w:pPr>
        <w:spacing w:after="156" w:afterLines="50" w:line="360" w:lineRule="auto"/>
        <w:rPr>
          <w:rFonts w:cs="宋体"/>
          <w:b/>
          <w:sz w:val="24"/>
        </w:rPr>
      </w:pPr>
      <w:r>
        <w:rPr>
          <w:rFonts w:hint="eastAsia" w:cs="宋体"/>
          <w:b/>
          <w:sz w:val="24"/>
        </w:rPr>
        <w:t>2</w:t>
      </w:r>
      <w:r>
        <w:rPr>
          <w:rFonts w:cs="宋体"/>
          <w:b/>
          <w:sz w:val="24"/>
        </w:rPr>
        <w:t xml:space="preserve">.4 </w:t>
      </w:r>
      <w:r>
        <w:rPr>
          <w:rFonts w:hint="eastAsia" w:cs="宋体"/>
          <w:b/>
          <w:sz w:val="24"/>
        </w:rPr>
        <w:t>交货地点</w:t>
      </w:r>
    </w:p>
    <w:p w14:paraId="238226AE">
      <w:pPr>
        <w:spacing w:after="156" w:afterLines="50" w:line="360" w:lineRule="auto"/>
        <w:rPr>
          <w:rFonts w:ascii="宋体" w:hAnsi="宋体" w:cs="宋体"/>
          <w:sz w:val="24"/>
        </w:rPr>
      </w:pPr>
      <w:r>
        <w:rPr>
          <w:rFonts w:hint="eastAsia" w:ascii="宋体" w:hAnsi="宋体" w:cs="宋体"/>
          <w:sz w:val="24"/>
        </w:rPr>
        <w:t>用户指定地点</w:t>
      </w:r>
    </w:p>
    <w:p w14:paraId="5312AD6A">
      <w:pPr>
        <w:spacing w:after="156" w:afterLines="50" w:line="360" w:lineRule="auto"/>
        <w:rPr>
          <w:rFonts w:ascii="宋体" w:hAnsi="宋体" w:cs="宋体"/>
          <w:sz w:val="24"/>
        </w:rPr>
      </w:pPr>
    </w:p>
    <w:p w14:paraId="0E938AEF">
      <w:pPr>
        <w:spacing w:after="156" w:afterLines="50" w:line="360" w:lineRule="auto"/>
        <w:rPr>
          <w:rFonts w:cs="宋体"/>
          <w:b/>
          <w:sz w:val="24"/>
        </w:rPr>
      </w:pPr>
      <w:r>
        <w:rPr>
          <w:rFonts w:hint="eastAsia" w:cs="宋体"/>
          <w:b/>
          <w:sz w:val="24"/>
        </w:rPr>
        <w:t>2</w:t>
      </w:r>
      <w:r>
        <w:rPr>
          <w:rFonts w:cs="宋体"/>
          <w:b/>
          <w:sz w:val="24"/>
        </w:rPr>
        <w:t xml:space="preserve">.5 </w:t>
      </w:r>
      <w:r>
        <w:rPr>
          <w:rFonts w:hint="eastAsia" w:cs="宋体"/>
          <w:b/>
          <w:sz w:val="24"/>
        </w:rPr>
        <w:t>交货时间</w:t>
      </w:r>
    </w:p>
    <w:p w14:paraId="4D45BAFB">
      <w:pPr>
        <w:spacing w:after="156" w:afterLines="50" w:line="360" w:lineRule="auto"/>
        <w:ind w:firstLine="260" w:firstLineChars="100"/>
        <w:rPr>
          <w:rFonts w:cs="宋体"/>
          <w:bCs/>
          <w:sz w:val="24"/>
        </w:rPr>
      </w:pPr>
      <w:r>
        <w:rPr>
          <w:rFonts w:hint="eastAsia" w:cs="宋体"/>
          <w:spacing w:val="10"/>
          <w:sz w:val="24"/>
        </w:rPr>
        <w:t>版图出图后2个月内交付掩模版</w:t>
      </w:r>
    </w:p>
    <w:p w14:paraId="072305F4">
      <w:pPr>
        <w:spacing w:after="156" w:afterLines="50" w:line="360" w:lineRule="auto"/>
        <w:rPr>
          <w:rFonts w:ascii="宋体" w:hAnsi="宋体" w:cs="宋体"/>
          <w:b/>
          <w:sz w:val="24"/>
        </w:rPr>
      </w:pPr>
    </w:p>
    <w:p w14:paraId="65A82227">
      <w:pPr>
        <w:spacing w:after="156" w:afterLines="50" w:line="360" w:lineRule="auto"/>
        <w:rPr>
          <w:rFonts w:cs="宋体"/>
          <w:b/>
          <w:sz w:val="24"/>
        </w:rPr>
      </w:pPr>
      <w:r>
        <w:rPr>
          <w:rFonts w:hint="eastAsia" w:cs="宋体"/>
          <w:b/>
          <w:sz w:val="24"/>
        </w:rPr>
        <w:t>★</w:t>
      </w:r>
      <w:r>
        <w:rPr>
          <w:rFonts w:cs="宋体"/>
          <w:b/>
          <w:sz w:val="24"/>
        </w:rPr>
        <w:t>2.6</w:t>
      </w:r>
      <w:r>
        <w:rPr>
          <w:rFonts w:hint="eastAsia" w:cs="宋体"/>
          <w:b/>
          <w:sz w:val="24"/>
        </w:rPr>
        <w:t>付款方式</w:t>
      </w:r>
    </w:p>
    <w:p w14:paraId="7E331B10">
      <w:pPr>
        <w:spacing w:after="156" w:afterLines="50" w:line="360" w:lineRule="auto"/>
        <w:ind w:firstLine="480" w:firstLineChars="200"/>
        <w:rPr>
          <w:rFonts w:ascii="宋体" w:hAnsi="宋体"/>
          <w:sz w:val="24"/>
        </w:rPr>
      </w:pPr>
      <w:r>
        <w:rPr>
          <w:rFonts w:hint="eastAsia" w:ascii="宋体" w:hAnsi="宋体"/>
          <w:sz w:val="24"/>
        </w:rPr>
        <w:t>货款按单次采购合同结算,在办理付款手续之前，双方须对供应货物的品种、数量、单价、金额等进行统计,并经采购人核实无误后,中标人凭国家增值税发票以及验收合格报告向采购人申请付款,采购人在收到发票后30日内将货款以转账方式付给中标人。</w:t>
      </w:r>
    </w:p>
    <w:p w14:paraId="09A24068">
      <w:pPr>
        <w:spacing w:after="156" w:afterLines="50" w:line="360" w:lineRule="auto"/>
        <w:ind w:firstLine="480" w:firstLineChars="200"/>
        <w:rPr>
          <w:rFonts w:ascii="宋体" w:hAnsi="宋体"/>
          <w:sz w:val="24"/>
        </w:rPr>
      </w:pPr>
    </w:p>
    <w:p w14:paraId="308D988B">
      <w:pPr>
        <w:spacing w:after="156" w:afterLines="50" w:line="360" w:lineRule="auto"/>
        <w:rPr>
          <w:rFonts w:cs="宋体"/>
          <w:b/>
          <w:sz w:val="24"/>
        </w:rPr>
      </w:pPr>
      <w:r>
        <w:rPr>
          <w:rFonts w:hint="eastAsia" w:cs="宋体"/>
          <w:b/>
          <w:sz w:val="24"/>
        </w:rPr>
        <w:t>★2</w:t>
      </w:r>
      <w:r>
        <w:rPr>
          <w:rFonts w:cs="宋体"/>
          <w:b/>
          <w:sz w:val="24"/>
        </w:rPr>
        <w:t xml:space="preserve">.7 </w:t>
      </w:r>
      <w:r>
        <w:rPr>
          <w:rFonts w:hint="eastAsia" w:cs="宋体"/>
          <w:b/>
          <w:sz w:val="24"/>
        </w:rPr>
        <w:t>报价方式</w:t>
      </w:r>
    </w:p>
    <w:p w14:paraId="6A10BBDF">
      <w:r>
        <w:rPr>
          <w:rFonts w:hint="eastAsia" w:ascii="宋体" w:hAnsi="宋体"/>
          <w:sz w:val="24"/>
        </w:rPr>
        <w:t>投标人均需以下浮比例进行报价，参考基数为超薄金属吸收层掩模版系列</w:t>
      </w:r>
      <w:r>
        <w:rPr>
          <w:rFonts w:ascii="宋体" w:hAnsi="宋体"/>
          <w:sz w:val="24"/>
        </w:rPr>
        <w:t>5</w:t>
      </w:r>
      <w:r>
        <w:rPr>
          <w:rFonts w:hint="eastAsia" w:ascii="宋体" w:hAnsi="宋体"/>
          <w:sz w:val="24"/>
        </w:rPr>
        <w:t>0万。所有品目需单项报价且统一一个下浮比例，单项不报价以及下浮比例不一致的投标将被拒绝。投标人需按照要求在分项报价表中逐一详细列出每个项目的下浮比例。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3421E"/>
    <w:rsid w:val="2FB3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tabs>
        <w:tab w:val="left" w:pos="567"/>
      </w:tabs>
      <w:spacing w:before="120" w:line="22" w:lineRule="atLeast"/>
    </w:pPr>
    <w:rPr>
      <w:rFonts w:ascii="宋体" w:hAnsi="宋体"/>
      <w:sz w:val="24"/>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First Indent 2"/>
    <w:basedOn w:val="3"/>
    <w:qFormat/>
    <w:uiPriority w:val="0"/>
    <w:pPr>
      <w:ind w:firstLine="420" w:firstLineChars="200"/>
    </w:p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2025-08-22T10:29:00Z</dcterms:created>
  <dc:creator>wake</dc:creator>
  <cp:lastModifiedBy>wake</cp:lastModifiedBy>
  <dcterms:modified xsi:type="dcterms:W3CDTF">2025-08-22T10:29:15Z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4A1E751369654C27BF0CC395C0B8DBF6_11</vt:lpwstr>
  </property>
  <property fmtid="{D5CDD505-2E9C-101B-9397-08002B2CF9AE}" pid="4" name="KSOTemplateDocerSaveRecord">
    <vt:lpwstr>eyJoZGlkIjoiYjk5ODM0YmMxOWJiYWQyNDU4MGIzYWRmYTA0ZmI5NDciLCJ1c2VySWQiOiIzMTY1NjgwOTgifQ==</vt:lpwstr>
  </property>
</Properties>
</file>