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440001-2025-34852</w:t>
      </w:r>
    </w:p>
    <w:p>
      <w:pPr>
        <w:pStyle w:val="null3"/>
        <w:jc w:val="center"/>
        <w:outlineLvl w:val="3"/>
      </w:pPr>
      <w:r>
        <w:rPr>
          <w:sz w:val="24"/>
          <w:b/>
        </w:rPr>
        <w:t>采购项目编号：</w:t>
      </w:r>
      <w:r>
        <w:rPr>
          <w:sz w:val="24"/>
          <w:b/>
        </w:rPr>
        <w:t>GZZJ-ZG-2025632</w:t>
      </w:r>
    </w:p>
    <w:p>
      <w:pPr>
        <w:pStyle w:val="null3"/>
        <w:jc w:val="center"/>
        <w:outlineLvl w:val="3"/>
      </w:pPr>
      <w:r>
        <w:rPr>
          <w:sz w:val="24"/>
          <w:b/>
        </w:rPr>
        <w:t>项目名称：</w:t>
      </w:r>
      <w:r>
        <w:rPr>
          <w:sz w:val="24"/>
          <w:b/>
        </w:rPr>
        <w:t>晶圆级高密度激光辅助键合系统(二次)</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广州中经招标有限公司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广州中经招标有限公司</w:t>
      </w:r>
      <w:r>
        <w:rPr/>
        <w:t>受</w:t>
      </w:r>
      <w:r>
        <w:rPr/>
        <w:t>广东工业大学</w:t>
      </w:r>
      <w:r>
        <w:rPr/>
        <w:t>的委托，采用</w:t>
      </w:r>
      <w:r>
        <w:rPr/>
        <w:t>公开招标</w:t>
      </w:r>
      <w:r>
        <w:rPr/>
        <w:t>方式组织采购</w:t>
      </w:r>
      <w:r>
        <w:rPr/>
        <w:t>晶圆级高密度激光辅助键合系统(二次)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晶圆级高密度激光辅助键合系统(二次)</w:t>
      </w:r>
    </w:p>
    <w:p>
      <w:pPr>
        <w:pStyle w:val="null3"/>
        <w:ind w:firstLine="480"/>
      </w:pPr>
      <w:r>
        <w:rPr/>
        <w:t>采购计划编号：</w:t>
      </w:r>
      <w:r>
        <w:rPr/>
        <w:t>440001-2025-34852</w:t>
      </w:r>
    </w:p>
    <w:p>
      <w:pPr>
        <w:pStyle w:val="null3"/>
        <w:ind w:firstLine="480"/>
      </w:pPr>
      <w:r>
        <w:rPr/>
        <w:t>采购项目编号：</w:t>
      </w:r>
      <w:r>
        <w:rPr/>
        <w:t>GZZJ-ZG-2025632</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采购包1(晶圆级高密度激光辅助键合系统):</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晶圆级高密度激光辅助键合系统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2）具有良好的商业信誉和健全的财务会计制度：提供以下任一证明： ①2023年度或2024年度财务报告复印件； ②提供2025年至今任意1个月的财务状况报告复印件； ③银行出具的资信证明材料复印件。</w:t>
      </w:r>
    </w:p>
    <w:p>
      <w:pPr>
        <w:pStyle w:val="null3"/>
      </w:pPr>
      <w:r>
        <w:rPr/>
        <w:t>3）有依法缴纳税收和社会保障资金的良好记录：①提供2025年任意一个月依法缴纳税收的相关证明材料，如依法免税的，应提供相应文件证明其依法免税； ②提供2025年任意一个月依法缴纳社会保险的证明复印件，如依法不需要缴纳社会保障资金的，应提供相应文件证明其依法不需要缴纳社会保障资金。</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采购包1（晶圆级高密度激光辅助键合系统）：</w:t>
      </w:r>
      <w:r>
        <w:rPr/>
        <w:t>无，本项目不属于专门面向中小企业采购的项目。</w:t>
      </w:r>
    </w:p>
    <w:p>
      <w:pPr>
        <w:pStyle w:val="null3"/>
        <w:outlineLvl w:val="3"/>
      </w:pPr>
      <w:r>
        <w:rPr>
          <w:sz w:val="24"/>
          <w:b/>
        </w:rPr>
        <w:t>3.本项目特定的资格要求：</w:t>
      </w:r>
    </w:p>
    <w:p>
      <w:pPr>
        <w:pStyle w:val="null3"/>
      </w:pPr>
      <w:r>
        <w:rPr/>
        <w:t>采购包1（晶圆级高密度激光辅助键合系统）：</w:t>
      </w:r>
    </w:p>
    <w:p>
      <w:pPr>
        <w:pStyle w:val="null3"/>
      </w:pPr>
      <w:r>
        <w:rPr/>
        <w:t>1)1）单位负责人为同一人或者存在直接控股、管理关系的不同供应商，不得同时参加本采购项目（包组）投标。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020-39340032</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陈小姐、庄小姐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1291"/>
        <w:gridCol w:w="794"/>
        <w:gridCol w:w="793"/>
        <w:gridCol w:w="1087"/>
        <w:gridCol w:w="1085"/>
        <w:gridCol w:w="1090"/>
        <w:gridCol w:w="1078"/>
        <w:gridCol w:w="1085"/>
      </w:tblGrid>
      <w:tr>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b/>
              </w:rPr>
              <w:t>数量</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保修期（年）</w:t>
            </w:r>
          </w:p>
        </w:tc>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含税</w:t>
            </w:r>
            <w:r>
              <w:rPr>
                <w:sz w:val="21"/>
                <w:b/>
              </w:rPr>
              <w:t>/免税</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晶圆级高密度激光辅助键合系统</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420万元</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含税</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spacing w:before="150"/>
        <w:jc w:val="both"/>
      </w:pPr>
      <w:r>
        <w:rPr>
          <w:sz w:val="21"/>
          <w:b/>
        </w:rPr>
        <w:t>（二）项目属性：货物类。</w:t>
      </w:r>
    </w:p>
    <w:p>
      <w:pPr>
        <w:pStyle w:val="null3"/>
        <w:jc w:val="left"/>
      </w:pPr>
      <w:r>
        <w:rPr>
          <w:sz w:val="21"/>
          <w:b/>
        </w:rPr>
        <w:t>（三）投标说明</w:t>
      </w:r>
    </w:p>
    <w:p>
      <w:pPr>
        <w:pStyle w:val="null3"/>
        <w:jc w:val="left"/>
      </w:pPr>
      <w:r>
        <w:rPr>
          <w:sz w:val="21"/>
        </w:rPr>
        <w:t>1.投标人必须对所有采购内容或服务进行整体响应，任何只对部分内容进行响应都被视为无效报价。</w:t>
      </w:r>
    </w:p>
    <w:p>
      <w:pPr>
        <w:pStyle w:val="null3"/>
        <w:jc w:val="left"/>
      </w:pPr>
      <w:r>
        <w:rPr>
          <w:sz w:val="21"/>
        </w:rPr>
        <w:t>2.需求书中加注“★”的条款均被视为不可偏离条款，投标人要特别加以注意，必须对此响应并完全满足或优于这些条款，否则若有一项加注“★”的条款未响应或不满足，投标都将被视为无效投标。</w:t>
      </w:r>
    </w:p>
    <w:p>
      <w:pPr>
        <w:pStyle w:val="null3"/>
        <w:jc w:val="left"/>
      </w:pPr>
      <w:r>
        <w:rPr>
          <w:sz w:val="21"/>
        </w:rPr>
        <w:t>★3.投标人应在《分项报价表》上标明本项目拟提供主要标的的名称、规格型号、品牌、产地、制造商名称、单价、数量、总价。</w:t>
      </w:r>
    </w:p>
    <w:p>
      <w:pPr>
        <w:pStyle w:val="null3"/>
        <w:jc w:val="both"/>
      </w:pPr>
      <w:r>
        <w:rPr>
          <w:sz w:val="21"/>
          <w:b/>
        </w:rPr>
        <w:t>（四）投标人需在投标文件中提供所投设备的详细配置清单。</w:t>
      </w:r>
    </w:p>
    <w:p>
      <w:pPr>
        <w:pStyle w:val="null3"/>
      </w:pPr>
      <w:r>
        <w:rPr/>
        <w:t>采购包1（晶圆级高密度激光辅助键合系统）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合同生效90天内投标人完成货物安装调试并交付使用。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广东工业大学大学城校区机电工程学院指定地点。</w:t>
            </w:r>
          </w:p>
        </w:tc>
      </w:tr>
      <w:tr>
        <w:tc>
          <w:tcPr>
            <w:tcW w:type="dxa" w:w="4153"/>
          </w:tcPr>
          <w:p>
            <w:pPr>
              <w:pStyle w:val="null3"/>
            </w:pPr>
            <w:r>
              <w:rPr/>
              <w:t>付款方式</w:t>
            </w:r>
          </w:p>
        </w:tc>
        <w:tc>
          <w:tcPr>
            <w:tcW w:type="dxa" w:w="4153"/>
          </w:tcPr>
          <w:p>
            <w:pPr>
              <w:pStyle w:val="null3"/>
            </w:pPr>
            <w:r>
              <w:rPr/>
              <w:t>1期：支付比例100%,供应商履约、货物安装调试完毕，采购人收到供应商验收申请后 7 日内组织履约验收，经采购人、中标人双方对货物进行验收合格并完成交付后，中标人开具全额增值税专用发票给采购人作为报账凭证，采购人自收到发票后10个工作日内按其规章制度办理支付手续向中标人支付全部合同货款。 若中标人为中小企业，本项目货款分两期支付：第1期为(预付款)：支付比例30%，合同生效后5个工作日内，采购人收到中标人开具的增值税专用发票后向中标人支付30%的合同货款作为预付款。第2期为(尾款)：支付比例70%，货物安装调试完毕，经采购人、中标人双方对货物进行验收合格并完成交付后，中标人开具增值税专用发票给采购人作为报账凭证。收到报账凭证后10个工作日内，采购人按其规章制度办理支付手续向中标人支付剩余70%的合同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交付验收标准为：按合同约定的货物及价格、详细配置清单及技术指标、符合采购文件和响应承诺中采购人认可的合理最佳配置、参数及各项要求、国家相关标准和行业规范进行验收（该等标准不一致的，以较高为准）。 2. 验收流程按采购人规章制度执行，由采购人组成验收小组（含中标人人员）按国家有关规定、规范进行验收，必要时采购人可邀请相关的专业人员或机构参与验收。验收时，采购人、中标人双方必须同时在场，验收完毕后做出验收结果报告。 3. 货物安装调试完毕且正常运行后，中标人应向采购人提出书面验收申请，准备并向采购人提交验收文件，采购人在收到验收申请后7日内，组织对合同项下的全部货物按采购人验收流程验收通过，经采购人和中标人双方签署验收合格证明后，视为验收合格。 4. 验收合格后，中标人应将货物的用户手册、保修手册、有关单证资料及配备件、随机工具等交付给采购人，使用操作及安全须知等重要资料应附有中文说明。前述资料物品交付完毕当日，视为合同货物完成交付。 5. 中标人交货前应对产品做出全面检查和对验收文件进行整理，并列出清单，作为采购人收货验收和使用的技术条件依据，检验的结果应随货交采购人。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投标总价为完成项目的全包价，包括但不限于购买货物、保险运输、装卸进场、安装调试、产品检测、产品验收、培训验收、售后服务、设备所带软件系统的永久使用许可等费用、各项税费及合同实施过程中不可预见费用等。除合同明确约定的费用外，采购人无需支付任何额外费用和承担任何额外义务。</w:t>
            </w:r>
          </w:p>
        </w:tc>
      </w:tr>
      <w:tr>
        <w:tc>
          <w:tcPr>
            <w:tcW w:type="dxa" w:w="2076"/>
          </w:tcPr>
          <w:p/>
        </w:tc>
        <w:tc>
          <w:tcPr>
            <w:tcW w:type="dxa" w:w="2076"/>
          </w:tcPr>
          <w:p>
            <w:pPr>
              <w:pStyle w:val="null3"/>
              <w:jc w:val="center"/>
            </w:pPr>
            <w:r>
              <w:rPr/>
              <w:t>2</w:t>
            </w:r>
          </w:p>
        </w:tc>
        <w:tc>
          <w:tcPr>
            <w:tcW w:type="dxa" w:w="2076"/>
          </w:tcPr>
          <w:p>
            <w:pPr>
              <w:pStyle w:val="null3"/>
              <w:jc w:val="left"/>
            </w:pPr>
            <w:r>
              <w:rPr/>
              <w:t>总体要求</w:t>
            </w:r>
          </w:p>
        </w:tc>
        <w:tc>
          <w:tcPr>
            <w:tcW w:type="dxa" w:w="2076"/>
          </w:tcPr>
          <w:p>
            <w:pPr>
              <w:pStyle w:val="null3"/>
              <w:jc w:val="left"/>
            </w:pPr>
            <w:r>
              <w:rPr/>
              <w:t>（1）投标人应对投标设备列明其品牌、型号、制造商名称、产地、技术参数、功能介绍和使用说明。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（4）投标货物的技术规格、功能作用与招标文件要求一致而制造商所提供货物之设备名称与招标文件名称不一致的，须对设备名称不一致提供相关说明（格式自拟）。 （5）中标人保证其所投货物和服务不侵犯任何第三人的合法权益，否则，由中标人承担因此导致的一切法律后果，并赔偿采购人因此遭受的全部损失，包括但不限于直接经济损失、预期收益损失、名誉损失、维护权益的成本等。</w:t>
            </w:r>
          </w:p>
        </w:tc>
      </w:tr>
      <w:tr>
        <w:tc>
          <w:tcPr>
            <w:tcW w:type="dxa" w:w="2076"/>
          </w:tcPr>
          <w:p/>
        </w:tc>
        <w:tc>
          <w:tcPr>
            <w:tcW w:type="dxa" w:w="2076"/>
          </w:tcPr>
          <w:p>
            <w:pPr>
              <w:pStyle w:val="null3"/>
              <w:jc w:val="center"/>
            </w:pPr>
            <w:r>
              <w:rPr/>
              <w:t>3</w:t>
            </w:r>
          </w:p>
        </w:tc>
        <w:tc>
          <w:tcPr>
            <w:tcW w:type="dxa" w:w="2076"/>
          </w:tcPr>
          <w:p>
            <w:pPr>
              <w:pStyle w:val="null3"/>
              <w:jc w:val="left"/>
            </w:pPr>
            <w:r>
              <w:rPr/>
              <w:t>货物质量要求</w:t>
            </w:r>
          </w:p>
        </w:tc>
        <w:tc>
          <w:tcPr>
            <w:tcW w:type="dxa" w:w="2076"/>
          </w:tcPr>
          <w:p>
            <w:pPr>
              <w:pStyle w:val="null3"/>
              <w:jc w:val="left"/>
            </w:pPr>
            <w:r>
              <w:rPr/>
              <w:t>（1）投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投标人提供的货物必须是原厂原装全新正版产品（含零部件、配件、随机工具等），包装外观完好、表面无划伤无破损、附件齐全，整机无污染、无任何缺陷隐患，序列号、包装箱号与出厂批号一致，并可追索查阅。中国国内货物则必须具备出厂合格证，所有货物在中国境内可依常规安全合法使用。 （3）投标人对提供的货物提供3年的质量保证期。货物在质量保证期内被证明有缺陷，包括内在缺陷或使用不适当原材料，或者货物在维保期内维修超过3次，仍达不到合同要求，投标人应予退换货。 （4）投标人保证提供货物安全，包括技术和质量安全，非因采购人人员原因，货物造成的人身、财产损害，由投标人承担全部责任。</w:t>
            </w:r>
          </w:p>
        </w:tc>
      </w:tr>
      <w:tr>
        <w:tc>
          <w:tcPr>
            <w:tcW w:type="dxa" w:w="2076"/>
          </w:tcPr>
          <w:p/>
        </w:tc>
        <w:tc>
          <w:tcPr>
            <w:tcW w:type="dxa" w:w="2076"/>
          </w:tcPr>
          <w:p>
            <w:pPr>
              <w:pStyle w:val="null3"/>
              <w:jc w:val="center"/>
            </w:pPr>
            <w:r>
              <w:rPr/>
              <w:t>4</w:t>
            </w:r>
          </w:p>
        </w:tc>
        <w:tc>
          <w:tcPr>
            <w:tcW w:type="dxa" w:w="2076"/>
          </w:tcPr>
          <w:p>
            <w:pPr>
              <w:pStyle w:val="null3"/>
              <w:jc w:val="left"/>
            </w:pPr>
            <w:r>
              <w:rPr/>
              <w:t>设备包装</w:t>
            </w:r>
          </w:p>
        </w:tc>
        <w:tc>
          <w:tcPr>
            <w:tcW w:type="dxa" w:w="2076"/>
          </w:tcPr>
          <w:p>
            <w:pPr>
              <w:pStyle w:val="null3"/>
              <w:jc w:val="left"/>
            </w:pPr>
            <w:r>
              <w:rPr/>
              <w:t>设备的包装均应有良好的防湿、防锈、防潮、防雨、防腐及防碰撞等的措施，符合《商品包装政府采购需求标准（试行）》及《快递包装政府采购需求标准（试行）》的要求。凡由于包装不良造成的损失和由此产生的费用均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到货检验、安装调试</w:t>
            </w:r>
          </w:p>
        </w:tc>
        <w:tc>
          <w:tcPr>
            <w:tcW w:type="dxa" w:w="2076"/>
          </w:tcPr>
          <w:p>
            <w:pPr>
              <w:pStyle w:val="null3"/>
              <w:jc w:val="left"/>
            </w:pPr>
            <w:r>
              <w:rPr/>
              <w:t>（1）货物送到采购人指定地点后，采购人和中标人双方代表同时在场时才能开箱检验。 （2）采购人和中标人双方就货物进行的检验包括但不限于名称、品牌、规格、型号、产地、数量外在可视参数。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（4）中标人必须依照招标文件的要求和报价文件的承诺，将货物安装并调试至正常运行的最佳状态。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tc>
      </w:tr>
      <w:tr>
        <w:tc>
          <w:tcPr>
            <w:tcW w:type="dxa" w:w="2076"/>
          </w:tcPr>
          <w:p/>
        </w:tc>
        <w:tc>
          <w:tcPr>
            <w:tcW w:type="dxa" w:w="2076"/>
          </w:tcPr>
          <w:p>
            <w:pPr>
              <w:pStyle w:val="null3"/>
              <w:jc w:val="center"/>
            </w:pPr>
            <w:r>
              <w:rPr/>
              <w:t>6</w:t>
            </w:r>
          </w:p>
        </w:tc>
        <w:tc>
          <w:tcPr>
            <w:tcW w:type="dxa" w:w="2076"/>
          </w:tcPr>
          <w:p>
            <w:pPr>
              <w:pStyle w:val="null3"/>
              <w:jc w:val="left"/>
            </w:pPr>
            <w:r>
              <w:rPr/>
              <w:t>培训及售后服务</w:t>
            </w:r>
          </w:p>
        </w:tc>
        <w:tc>
          <w:tcPr>
            <w:tcW w:type="dxa" w:w="2076"/>
          </w:tcPr>
          <w:p>
            <w:pPr>
              <w:pStyle w:val="null3"/>
              <w:jc w:val="left"/>
            </w:pPr>
            <w:r>
              <w:rPr/>
              <w:t>（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（2）所有货物保修期为3年，中标人提供免费3年上门保修服务和系统维护，中标人不再收取任何费用，保修期自采购人和中标人双方代表在货物安装调试后的验收证明文件上签字之日起计算。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（5）货物（含软件类产品）故障报修的响应时间为2小时内，且在8小时内（连同前面时间计算）到达现场，24 小时内处理完毕。规定时间内未处理完毕的，中标人在48小时内提供相同功能的替代货物供用户使用至故障消除为止。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晶圆级高密度激光辅助键合系统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晶圆级高密度激光辅助键合系统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1、配置激光发射模块，激光波</w:t>
            </w:r>
            <w:r>
              <w:rPr>
                <w:sz w:val="21"/>
              </w:rPr>
              <w:t>长</w:t>
            </w:r>
            <w:r>
              <w:rPr>
                <w:sz w:val="21"/>
              </w:rPr>
              <w:t>：</w:t>
            </w:r>
            <w:r>
              <w:rPr>
                <w:sz w:val="21"/>
              </w:rPr>
              <w:t>≤</w:t>
            </w:r>
            <w:r>
              <w:rPr>
                <w:sz w:val="21"/>
              </w:rPr>
              <w:t>980nm。</w:t>
            </w:r>
          </w:p>
        </w:tc>
      </w:tr>
      <w:tr>
        <w:tc>
          <w:tcPr>
            <w:tcW w:type="dxa" w:w="2076"/>
          </w:tcPr>
          <w:p/>
        </w:tc>
        <w:tc>
          <w:tcPr>
            <w:tcW w:type="dxa" w:w="415"/>
          </w:tcPr>
          <w:p>
            <w:pPr>
              <w:pStyle w:val="null3"/>
            </w:pPr>
            <w:r>
              <w:rPr/>
              <w:t>2</w:t>
            </w:r>
          </w:p>
        </w:tc>
        <w:tc>
          <w:tcPr>
            <w:tcW w:type="dxa" w:w="5814"/>
          </w:tcPr>
          <w:p>
            <w:pPr>
              <w:pStyle w:val="null3"/>
              <w:jc w:val="both"/>
            </w:pPr>
            <w:r>
              <w:rPr>
                <w:sz w:val="21"/>
              </w:rPr>
              <w:t>2、通过激光加热，激光功率</w:t>
            </w:r>
            <w:r>
              <w:rPr>
                <w:sz w:val="21"/>
              </w:rPr>
              <w:t>：</w:t>
            </w:r>
            <w:r>
              <w:rPr>
                <w:sz w:val="21"/>
              </w:rPr>
              <w:t>≥</w:t>
            </w:r>
            <w:r>
              <w:rPr>
                <w:sz w:val="21"/>
              </w:rPr>
              <w:t>6000W</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3、激光器寿命：</w:t>
            </w:r>
            <w:r>
              <w:rPr>
                <w:sz w:val="21"/>
              </w:rPr>
              <w:t>≥</w:t>
            </w:r>
            <w:r>
              <w:rPr>
                <w:sz w:val="21"/>
              </w:rPr>
              <w:t>20000小时。</w:t>
            </w:r>
          </w:p>
        </w:tc>
      </w:tr>
      <w:tr>
        <w:tc>
          <w:tcPr>
            <w:tcW w:type="dxa" w:w="2076"/>
          </w:tcPr>
          <w:p/>
        </w:tc>
        <w:tc>
          <w:tcPr>
            <w:tcW w:type="dxa" w:w="415"/>
          </w:tcPr>
          <w:p>
            <w:pPr>
              <w:pStyle w:val="null3"/>
            </w:pPr>
            <w:r>
              <w:rPr/>
              <w:t>4</w:t>
            </w:r>
          </w:p>
        </w:tc>
        <w:tc>
          <w:tcPr>
            <w:tcW w:type="dxa" w:w="5814"/>
          </w:tcPr>
          <w:p>
            <w:pPr>
              <w:pStyle w:val="null3"/>
              <w:jc w:val="both"/>
            </w:pPr>
            <w:r>
              <w:rPr>
                <w:sz w:val="21"/>
              </w:rPr>
              <w:t>4、配置红外测温传感器，检测误差为±1℃。</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5、芯片尺寸范围：0.1*0.1mm~</w:t>
            </w:r>
            <w:r>
              <w:rPr>
                <w:sz w:val="21"/>
              </w:rPr>
              <w:t>60*60</w:t>
            </w:r>
            <w:r>
              <w:rPr>
                <w:sz w:val="21"/>
              </w:rPr>
              <w:t>mm。</w:t>
            </w:r>
          </w:p>
        </w:tc>
      </w:tr>
      <w:tr>
        <w:tc>
          <w:tcPr>
            <w:tcW w:type="dxa" w:w="2076"/>
          </w:tcPr>
          <w:p/>
        </w:tc>
        <w:tc>
          <w:tcPr>
            <w:tcW w:type="dxa" w:w="415"/>
          </w:tcPr>
          <w:p>
            <w:pPr>
              <w:pStyle w:val="null3"/>
            </w:pPr>
            <w:r>
              <w:rPr/>
              <w:t>6</w:t>
            </w:r>
          </w:p>
        </w:tc>
        <w:tc>
          <w:tcPr>
            <w:tcW w:type="dxa" w:w="5814"/>
          </w:tcPr>
          <w:p>
            <w:pPr>
              <w:pStyle w:val="null3"/>
              <w:jc w:val="both"/>
            </w:pPr>
            <w:r>
              <w:rPr>
                <w:sz w:val="21"/>
              </w:rPr>
              <w:t>6、芯片厚度范围：0.03~2mm。</w:t>
            </w:r>
          </w:p>
        </w:tc>
      </w:tr>
      <w:tr>
        <w:tc>
          <w:tcPr>
            <w:tcW w:type="dxa" w:w="2076"/>
          </w:tcPr>
          <w:p/>
        </w:tc>
        <w:tc>
          <w:tcPr>
            <w:tcW w:type="dxa" w:w="415"/>
          </w:tcPr>
          <w:p>
            <w:pPr>
              <w:pStyle w:val="null3"/>
            </w:pPr>
            <w:r>
              <w:rPr/>
              <w:t>7</w:t>
            </w:r>
          </w:p>
        </w:tc>
        <w:tc>
          <w:tcPr>
            <w:tcW w:type="dxa" w:w="5814"/>
          </w:tcPr>
          <w:p>
            <w:pPr>
              <w:pStyle w:val="null3"/>
              <w:jc w:val="both"/>
            </w:pPr>
            <w:r>
              <w:rPr>
                <w:sz w:val="21"/>
              </w:rPr>
              <w:t>7、加工尺寸：≥300*300mm。</w:t>
            </w:r>
          </w:p>
        </w:tc>
      </w:tr>
      <w:tr>
        <w:tc>
          <w:tcPr>
            <w:tcW w:type="dxa" w:w="2076"/>
          </w:tcPr>
          <w:p/>
        </w:tc>
        <w:tc>
          <w:tcPr>
            <w:tcW w:type="dxa" w:w="415"/>
          </w:tcPr>
          <w:p>
            <w:pPr>
              <w:pStyle w:val="null3"/>
            </w:pPr>
            <w:r>
              <w:rPr/>
              <w:t>8</w:t>
            </w:r>
          </w:p>
        </w:tc>
        <w:tc>
          <w:tcPr>
            <w:tcW w:type="dxa" w:w="5814"/>
          </w:tcPr>
          <w:p>
            <w:pPr>
              <w:pStyle w:val="null3"/>
              <w:jc w:val="both"/>
            </w:pPr>
            <w:r>
              <w:rPr>
                <w:sz w:val="21"/>
              </w:rPr>
              <w:t>8、平台精度：重复定位精度≤0.4μm，定位精度≤0.8μm。</w:t>
            </w:r>
          </w:p>
        </w:tc>
      </w:tr>
      <w:tr>
        <w:tc>
          <w:tcPr>
            <w:tcW w:type="dxa" w:w="2076"/>
          </w:tcPr>
          <w:p/>
        </w:tc>
        <w:tc>
          <w:tcPr>
            <w:tcW w:type="dxa" w:w="415"/>
          </w:tcPr>
          <w:p>
            <w:pPr>
              <w:pStyle w:val="null3"/>
            </w:pPr>
            <w:r>
              <w:rPr/>
              <w:t>9</w:t>
            </w:r>
          </w:p>
        </w:tc>
        <w:tc>
          <w:tcPr>
            <w:tcW w:type="dxa" w:w="5814"/>
          </w:tcPr>
          <w:p>
            <w:pPr>
              <w:pStyle w:val="null3"/>
              <w:jc w:val="both"/>
            </w:pPr>
            <w:r>
              <w:rPr>
                <w:sz w:val="21"/>
              </w:rPr>
              <w:t>9、相机精度：</w:t>
            </w:r>
            <w:r>
              <w:rPr>
                <w:sz w:val="21"/>
              </w:rPr>
              <w:t>±0.8μm。</w:t>
            </w:r>
          </w:p>
        </w:tc>
      </w:tr>
      <w:tr>
        <w:tc>
          <w:tcPr>
            <w:tcW w:type="dxa" w:w="2076"/>
          </w:tcPr>
          <w:p/>
        </w:tc>
        <w:tc>
          <w:tcPr>
            <w:tcW w:type="dxa" w:w="415"/>
          </w:tcPr>
          <w:p>
            <w:pPr>
              <w:pStyle w:val="null3"/>
            </w:pPr>
            <w:r>
              <w:rPr/>
              <w:t>10</w:t>
            </w:r>
          </w:p>
        </w:tc>
        <w:tc>
          <w:tcPr>
            <w:tcW w:type="dxa" w:w="5814"/>
          </w:tcPr>
          <w:p>
            <w:pPr>
              <w:pStyle w:val="null3"/>
              <w:jc w:val="both"/>
            </w:pPr>
            <w:r>
              <w:rPr>
                <w:sz w:val="21"/>
              </w:rPr>
              <w:t>10、相机分辨率：≥4000W像素。</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11、整机贴合精度：≤±1μm。</w:t>
            </w:r>
          </w:p>
        </w:tc>
      </w:tr>
      <w:tr>
        <w:tc>
          <w:tcPr>
            <w:tcW w:type="dxa" w:w="2076"/>
          </w:tcPr>
          <w:p/>
        </w:tc>
        <w:tc>
          <w:tcPr>
            <w:tcW w:type="dxa" w:w="415"/>
          </w:tcPr>
          <w:p>
            <w:pPr>
              <w:pStyle w:val="null3"/>
            </w:pPr>
            <w:r>
              <w:rPr/>
              <w:t>12</w:t>
            </w:r>
          </w:p>
        </w:tc>
        <w:tc>
          <w:tcPr>
            <w:tcW w:type="dxa" w:w="5814"/>
          </w:tcPr>
          <w:p>
            <w:pPr>
              <w:pStyle w:val="null3"/>
              <w:jc w:val="both"/>
            </w:pPr>
            <w:r>
              <w:rPr>
                <w:sz w:val="21"/>
              </w:rPr>
              <w:t>12、配置加压石英吸嘴，尺寸可支持0.2*0.2mm、2*2mm、5*5mm、10*10mm。</w:t>
            </w:r>
          </w:p>
        </w:tc>
      </w:tr>
      <w:tr>
        <w:tc>
          <w:tcPr>
            <w:tcW w:type="dxa" w:w="2076"/>
          </w:tcPr>
          <w:p/>
        </w:tc>
        <w:tc>
          <w:tcPr>
            <w:tcW w:type="dxa" w:w="415"/>
          </w:tcPr>
          <w:p>
            <w:pPr>
              <w:pStyle w:val="null3"/>
            </w:pPr>
            <w:r>
              <w:rPr/>
              <w:t>13</w:t>
            </w:r>
          </w:p>
        </w:tc>
        <w:tc>
          <w:tcPr>
            <w:tcW w:type="dxa" w:w="5814"/>
          </w:tcPr>
          <w:p>
            <w:pPr>
              <w:pStyle w:val="null3"/>
              <w:jc w:val="both"/>
            </w:pPr>
            <w:r>
              <w:rPr>
                <w:sz w:val="21"/>
              </w:rPr>
              <w:t>13、配置晶圆加热平台，温度范围为室温~</w:t>
            </w:r>
            <w:r>
              <w:rPr>
                <w:sz w:val="21"/>
              </w:rPr>
              <w:t>450</w:t>
            </w:r>
            <w:r>
              <w:rPr>
                <w:sz w:val="21"/>
              </w:rPr>
              <w:t>℃。</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14、</w:t>
            </w:r>
            <w:r>
              <w:rPr>
                <w:sz w:val="21"/>
              </w:rPr>
              <w:t>配置四个压力模块，微压力模块支持设定压力为</w:t>
            </w:r>
            <w:r>
              <w:rPr>
                <w:sz w:val="21"/>
              </w:rPr>
              <w:t>0.03~</w:t>
            </w:r>
            <w:r>
              <w:rPr>
                <w:sz w:val="21"/>
              </w:rPr>
              <w:t>1.5N，小压力模块支持设定压力0.8~</w:t>
            </w:r>
            <w:r>
              <w:rPr>
                <w:sz w:val="21"/>
              </w:rPr>
              <w:t>12N，中压力模块支持设定压力为8~</w:t>
            </w:r>
            <w:r>
              <w:rPr>
                <w:sz w:val="21"/>
              </w:rPr>
              <w:t>120N，大压力模块支持设定压力为80~</w:t>
            </w:r>
            <w:r>
              <w:rPr>
                <w:sz w:val="21"/>
              </w:rPr>
              <w:t>550N，模块可自由拆卸更换。</w:t>
            </w:r>
          </w:p>
        </w:tc>
      </w:tr>
      <w:tr>
        <w:tc>
          <w:tcPr>
            <w:tcW w:type="dxa" w:w="2076"/>
          </w:tcPr>
          <w:p/>
        </w:tc>
        <w:tc>
          <w:tcPr>
            <w:tcW w:type="dxa" w:w="415"/>
          </w:tcPr>
          <w:p>
            <w:pPr>
              <w:pStyle w:val="null3"/>
            </w:pPr>
            <w:r>
              <w:rPr/>
              <w:t>15</w:t>
            </w:r>
          </w:p>
        </w:tc>
        <w:tc>
          <w:tcPr>
            <w:tcW w:type="dxa" w:w="5814"/>
          </w:tcPr>
          <w:p>
            <w:pPr>
              <w:pStyle w:val="null3"/>
              <w:jc w:val="both"/>
            </w:pPr>
            <w:r>
              <w:rPr>
                <w:sz w:val="21"/>
              </w:rPr>
              <w:t>15、配置惰性气体保护：具有基本封闭的惰性气体保护腔体。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采购包1：保证金人民币60000.0元整</w:t>
            </w:r>
          </w:p>
          <w:p>
            <w:pPr>
              <w:pStyle w:val="null3"/>
            </w:pPr>
            <w:r>
              <w:rPr/>
              <w:t>缴费渠道：</w:t>
            </w:r>
            <w:r>
              <w:rPr/>
              <w:t>电子保函（保险）</w:t>
            </w:r>
            <w:r>
              <w:rPr/>
              <w:t>、支票（本票、汇票）</w:t>
            </w:r>
            <w:r>
              <w:rPr/>
              <w:t>、其他</w:t>
            </w:r>
          </w:p>
          <w:p>
            <w:pPr>
              <w:pStyle w:val="null3"/>
            </w:pPr>
            <w:r>
              <w:rPr/>
              <w:t>开户单位：广州中经招标有限公司</w:t>
            </w:r>
          </w:p>
          <w:p>
            <w:pPr>
              <w:pStyle w:val="null3"/>
            </w:pPr>
            <w:r>
              <w:rPr/>
              <w:t>开户账号：9550880203416300174</w:t>
            </w:r>
          </w:p>
          <w:p>
            <w:pPr>
              <w:pStyle w:val="null3"/>
            </w:pPr>
            <w:r>
              <w:rPr/>
              <w:t>开户银行：广发银行广州五羊新城支行</w:t>
            </w:r>
          </w:p>
          <w:p>
            <w:pPr>
              <w:pStyle w:val="null3"/>
            </w:pPr>
            <w:r>
              <w:rPr/>
              <w:t>支票提交方式：非现金形式</w:t>
            </w:r>
          </w:p>
          <w:p>
            <w:pPr>
              <w:pStyle w:val="null3"/>
            </w:pPr>
            <w:r>
              <w:rPr/>
              <w:t>汇票、本票提交方式：非现金形式</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采购机构代理服务收费标准：招标服务费向中标/成交单位收取，收费标准的计算参照《广东省物价局粤价函〔2013〕1233号》规定的标准费率下浮20%，按货物类计算。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晶圆级高密度激光辅助键合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提供以下任一证明： ①2023年度或2024年度财务报告复印件； ②提供2025年至今任意1个月的财务状况报告复印件； ③银行出具的资信证明材料复印件。</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①提供2025年任意一个月依法缴纳税收的相关证明材料，如依法免税的，应提供相应文件证明其依法免税； ②提供2025年任意一个月依法缴纳社会保险的证明复印件，如依法不需要缴纳社会保障资金的，应提供相应文件证明其依法不需要缴纳社会保障资金。</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1）单位负责人为同一人或者存在直接控股、管理关系的不同供应商，不得同时参加本采购项目（包组）投标。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(10.0分)</w:t>
            </w:r>
          </w:p>
        </w:tc>
        <w:tc>
          <w:tcPr>
            <w:tcW w:type="dxa" w:w="5076"/>
          </w:tcPr>
          <w:p>
            <w:pPr>
              <w:pStyle w:val="null3"/>
              <w:jc w:val="left"/>
            </w:pPr>
            <w:r>
              <w:rPr/>
              <w:t>根据投标人对招标文件“第二章 采购需求/附表一：晶圆级高密度激光辅助键合系统/具体技术(参数)要求”中重要技术参数（带▲号，共2条）响应进行评审，每满足一条重要技术参数得5分，满分10分。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(30.0分)</w:t>
            </w:r>
          </w:p>
        </w:tc>
        <w:tc>
          <w:tcPr>
            <w:tcW w:type="dxa" w:w="5076"/>
          </w:tcPr>
          <w:p>
            <w:pPr>
              <w:pStyle w:val="null3"/>
              <w:jc w:val="left"/>
            </w:pPr>
            <w:r>
              <w:rPr/>
              <w:t>根据投标人对招标文件“第二章 采购需求/附表一：晶圆级高密度激光辅助键合系统/具体技术(参数)要求”中一般技术参数（不带★号或▲号，共12条）的响应程度进行评审：每完全满足1条一般技术参数得2.5分，满分30分。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1、方案内容完整、表达清晰，完全满足采购需求，有针对性，有利于项目实施，得6分； 2、方案内容完整，基本满足采购需求，得4分； 3、方案内容有缺项，不满足采购需求，得2分； 4、无提供得0分。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投标人针对本项目采购需求提供质量保证方案（内容至少包括：①供货来源、②产品生命周期、③质量管控流程、④备品备件质量保障等）： 1、方案内容完整、表达清晰，完全满足采购需求，有针对性，有利于项目质量保障，得7分； 2、方案内容完整，基本满足采购需求，得4分； 3、方案内容有缺项，不满足采购需求，得1分； 4、无提供得0分。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投标人针对本项目采购需求提供售后服务方案（内容至少包括：①免费保修期、②应急维修时间安排、③免费保修期保修内容承诺及质保期满后的承诺、④保障措施、⑤培训计划及售后人员安排）： 1、方案内容完整、表达清晰，完全满足采购需求，有针对性，得7分； 2、方案内容完整，基本满足采购需求，得4分； 3、方案内容有缺项，不满足采购需求，得1分； 4、无提供得0分。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投标人具有2022年1月1日至今（以合同签订时间为准）的同类项目业绩（含本项目采购标的），每提供一个得1分，最高得5分。 注：需提供合同关键页（含签订合同双方的单位名称、合同项目名称、合同标的、签订合同双方的落款盖章及签订日期）复印件并加盖投标人公章作为同类项目业绩证明资料，不提供不得分。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投标人具有2022年1月1日至今的用户评价材料，每提供一份得0.5分，最高2.5分。 注：1.须提供用户评价材料复印件，评价材料必须达到90分或带有“满意”或“好评”或“优秀”等相关正面评价字眼； 2.评价材料必须与上述有效的同类项目业绩相对应，否则不得分。</w:t>
            </w:r>
          </w:p>
        </w:tc>
      </w:tr>
      <w:tr>
        <w:tc>
          <w:tcPr>
            <w:tcW w:type="dxa" w:w="922"/>
            <w:gridSpan w:val="2"/>
            <w:vMerge/>
          </w:tcPr>
          <w:p/>
        </w:tc>
        <w:tc>
          <w:tcPr>
            <w:tcW w:type="dxa" w:w="2307"/>
          </w:tcPr>
          <w:p>
            <w:pPr>
              <w:pStyle w:val="null3"/>
              <w:jc w:val="left"/>
            </w:pPr>
            <w:r>
              <w:rPr/>
              <w:t>商务响应 (2.5分)</w:t>
            </w:r>
          </w:p>
        </w:tc>
        <w:tc>
          <w:tcPr>
            <w:tcW w:type="dxa" w:w="5076"/>
          </w:tcPr>
          <w:p>
            <w:pPr>
              <w:pStyle w:val="null3"/>
              <w:jc w:val="left"/>
            </w:pPr>
            <w:r>
              <w:rPr/>
              <w:t>根据投标人对本项目采购需求“主要商务要求”中“标的提供的时间、标的提供的地点”（共2项）响应情况进行评审：每满足一项得1.25分，满分2.5分。 注：根据投标人在《商务条件响应表》中的响应情况进行评审。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drawing>
          <wp:inline distT="0" distR="0" distB="0" distL="0">
            <wp:extent cx="876300" cy="4857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876300" cy="485775"/>
                    </a:xfrm>
                    <a:prstGeom prst="rect">
                      <a:avLst/>
                    </a:prstGeom>
                  </pic:spPr>
                </pic:pic>
              </a:graphicData>
            </a:graphic>
          </wp:inline>
        </w:drawing>
      </w:r>
      <w:r>
        <w:rPr>
          <w:sz w:val="48"/>
          <w:b/>
        </w:rPr>
        <w:t xml:space="preserve"> </w:t>
      </w:r>
    </w:p>
    <w:p>
      <w:pPr>
        <w:pStyle w:val="null3"/>
      </w:pPr>
      <w:r>
        <w:rPr/>
        <w:t xml:space="preserve"> </w:t>
      </w:r>
    </w:p>
    <w:p>
      <w:pPr>
        <w:pStyle w:val="null3"/>
        <w:ind w:firstLine="480"/>
        <w:jc w:val="both"/>
      </w:pPr>
      <w:r>
        <w:br/>
      </w:r>
      <w:r>
        <w:rPr>
          <w:sz w:val="44"/>
          <w:b/>
        </w:rPr>
        <w:t>教学科研设备采购合同（国内货物）</w:t>
      </w:r>
    </w:p>
    <w:p>
      <w:pPr>
        <w:pStyle w:val="null3"/>
        <w:spacing w:before="150" w:after="315"/>
        <w:ind w:left="-135"/>
        <w:jc w:val="center"/>
      </w:pPr>
      <w:r>
        <w:rPr>
          <w:sz w:val="21"/>
          <w:b/>
        </w:rPr>
        <w:t>[合同类型：□政府采购；□学校集中采购；□用户部门零散；□科研绿色；□教育部门“小零易购”]</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1"/>
        </w:rPr>
        <w:t xml:space="preserve">                       </w:t>
      </w:r>
    </w:p>
    <w:p>
      <w:pPr>
        <w:pStyle w:val="null3"/>
        <w:jc w:val="both"/>
      </w:pPr>
      <w:r>
        <w:rPr>
          <w:sz w:val="24"/>
        </w:rPr>
        <w:t>签订地点：广州市番禺区</w:t>
      </w:r>
    </w:p>
    <w:p>
      <w:pPr>
        <w:pStyle w:val="null3"/>
        <w:ind w:firstLine="420"/>
        <w:jc w:val="both"/>
      </w:pPr>
      <w:r>
        <w:rPr>
          <w:sz w:val="21"/>
        </w:rPr>
        <w:t>根据</w:t>
      </w:r>
      <w:r>
        <w:rPr>
          <w:sz w:val="21"/>
          <w:u w:val="single"/>
        </w:rPr>
        <w:t>****招标/采购机构</w:t>
      </w:r>
      <w:r>
        <w:rPr>
          <w:sz w:val="21"/>
        </w:rPr>
        <w:t>的</w:t>
      </w:r>
      <w:r>
        <w:rPr>
          <w:sz w:val="21"/>
          <w:u w:val="single"/>
        </w:rPr>
        <w:t>****</w:t>
      </w:r>
      <w:r>
        <w:rPr>
          <w:sz w:val="21"/>
        </w:rPr>
        <w:t>项目的招标</w:t>
      </w:r>
      <w:r>
        <w:rPr>
          <w:sz w:val="21"/>
        </w:rPr>
        <w:t>/采购文件[编号</w:t>
      </w:r>
      <w:r>
        <w:rPr>
          <w:sz w:val="21"/>
          <w:u w:val="single"/>
        </w:rPr>
        <w:t>****</w:t>
      </w:r>
      <w:r>
        <w:rPr>
          <w:sz w:val="21"/>
        </w:rPr>
        <w:t>]、乙方针对该项目的投标/响应文件及</w:t>
      </w:r>
      <w:r>
        <w:rPr>
          <w:sz w:val="21"/>
          <w:u w:val="single"/>
        </w:rPr>
        <w:t>20</w:t>
      </w:r>
      <w:r>
        <w:rPr>
          <w:sz w:val="21"/>
          <w:u w:val="single"/>
        </w:rPr>
        <w:t>**年**月**日</w:t>
      </w:r>
      <w:r>
        <w:rPr>
          <w:sz w:val="21"/>
        </w:rPr>
        <w:t>的中标</w:t>
      </w:r>
      <w:r>
        <w:rPr>
          <w:sz w:val="21"/>
        </w:rPr>
        <w:t>/成交结果通知书，按照中华人民共和国[☑</w:t>
      </w:r>
      <w:r>
        <w:rPr>
          <w:sz w:val="21"/>
        </w:rPr>
        <w:t>《民法典》；</w:t>
      </w:r>
      <w:r>
        <w:rPr>
          <w:sz w:val="24"/>
          <w:b/>
        </w:rPr>
        <w:t>□</w:t>
      </w:r>
      <w:r>
        <w:rPr>
          <w:sz w:val="21"/>
        </w:rPr>
        <w:t>《政府采购法》</w:t>
      </w:r>
      <w:r>
        <w:rPr>
          <w:sz w:val="21"/>
        </w:rPr>
        <w:t>]的规定，本着平等互利和诚实信用的原则，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562"/>
        <w:gridCol w:w="1513"/>
        <w:gridCol w:w="1463"/>
        <w:gridCol w:w="1350"/>
        <w:gridCol w:w="550"/>
        <w:gridCol w:w="550"/>
        <w:gridCol w:w="1088"/>
        <w:gridCol w:w="1200"/>
      </w:tblGrid>
      <w:tr>
        <w:tc>
          <w:tcPr>
            <w:tcW w:type="dxa" w:w="56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1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4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3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5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20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27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 xml:space="preserve">  </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设备所带软件系统的永久使用许可等费用、各项税费及合同实施过程中不可预见费用等。除合同明确约定的费用外，甲方无需支付任何额外费用和承担任何额外义务。</w:t>
      </w:r>
    </w:p>
    <w:p>
      <w:pPr>
        <w:pStyle w:val="null3"/>
        <w:spacing w:before="150"/>
        <w:jc w:val="both"/>
      </w:pPr>
      <w:r>
        <w:rPr>
          <w:sz w:val="28"/>
          <w:b/>
        </w:rPr>
        <w:t>二、货物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如果货物涉及进口产品，乙方必须通过合法途径从原产国或原产地原厂进口，并向甲方提供完整、合法、有效的海关报关材料以及进口证明文件，中国</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4.乙方保证提供货物安全，包括技术和质量安全，非因甲方人员原因，货物造成的人身、财产损害，由乙方承担全部责任。</w:t>
      </w:r>
    </w:p>
    <w:p>
      <w:pPr>
        <w:pStyle w:val="null3"/>
        <w:spacing w:before="150"/>
        <w:jc w:val="both"/>
      </w:pPr>
      <w:r>
        <w:rPr>
          <w:sz w:val="28"/>
          <w:b/>
        </w:rPr>
        <w:t>三、交货期及交货地点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w:t>
      </w:r>
      <w:r>
        <w:rPr>
          <w:sz w:val="21"/>
        </w:rPr>
        <w:t>校区</w:t>
      </w:r>
      <w:r>
        <w:rPr>
          <w:sz w:val="21"/>
          <w:u w:val="single"/>
        </w:rPr>
        <w:t>****</w:t>
      </w:r>
      <w:r>
        <w:rPr>
          <w:sz w:val="21"/>
        </w:rPr>
        <w:t>学院指定地点</w:t>
      </w:r>
      <w:r>
        <w:rPr>
          <w:sz w:val="24"/>
        </w:rPr>
        <w:t>。</w:t>
      </w:r>
    </w:p>
    <w:p>
      <w:pPr>
        <w:pStyle w:val="null3"/>
        <w:spacing w:before="150"/>
        <w:jc w:val="both"/>
      </w:pPr>
      <w:r>
        <w:rPr>
          <w:sz w:val="28"/>
          <w:b/>
        </w:rPr>
        <w:t>四、到货检验、</w:t>
      </w:r>
      <w:r>
        <w:rPr>
          <w:sz w:val="28"/>
          <w:b/>
        </w:rPr>
        <w:t>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五、验收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w:t>
      </w:r>
      <w:r>
        <w:rPr>
          <w:sz w:val="21"/>
        </w:rPr>
        <w:t>或者发现乙方交付的货物实际系假冒产品，乙方仍应承担全部法律责任。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8"/>
          <w:b/>
        </w:rPr>
        <w:t>六、付款</w:t>
      </w:r>
    </w:p>
    <w:p>
      <w:pPr>
        <w:pStyle w:val="null3"/>
        <w:ind w:firstLine="420"/>
        <w:jc w:val="both"/>
      </w:pPr>
      <w:r>
        <w:rPr>
          <w:sz w:val="21"/>
        </w:rPr>
        <w:t>乙方</w:t>
      </w:r>
      <w:r>
        <w:rPr>
          <w:sz w:val="21"/>
        </w:rPr>
        <w:t>履约、货物安装调试完毕，</w:t>
      </w:r>
      <w:r>
        <w:rPr>
          <w:sz w:val="21"/>
        </w:rPr>
        <w:t>甲方</w:t>
      </w:r>
      <w:r>
        <w:rPr>
          <w:sz w:val="21"/>
        </w:rPr>
        <w:t>收到</w:t>
      </w:r>
      <w:r>
        <w:rPr>
          <w:sz w:val="21"/>
        </w:rPr>
        <w:t>乙方</w:t>
      </w:r>
      <w:r>
        <w:rPr>
          <w:sz w:val="21"/>
        </w:rPr>
        <w:t>验收申请后</w:t>
      </w:r>
      <w:r>
        <w:rPr>
          <w:sz w:val="21"/>
        </w:rPr>
        <w:t>7 日内组织履约验收，经</w:t>
      </w:r>
      <w:r>
        <w:rPr>
          <w:sz w:val="21"/>
        </w:rPr>
        <w:t>甲乙</w:t>
      </w:r>
      <w:r>
        <w:rPr>
          <w:sz w:val="21"/>
        </w:rPr>
        <w:t>双方对货物进行验收合格并完成交付后，</w:t>
      </w:r>
      <w:r>
        <w:rPr>
          <w:sz w:val="21"/>
        </w:rPr>
        <w:t>乙方</w:t>
      </w:r>
      <w:r>
        <w:rPr>
          <w:sz w:val="21"/>
        </w:rPr>
        <w:t>开具全额增值税专用发票给</w:t>
      </w:r>
      <w:r>
        <w:rPr>
          <w:sz w:val="21"/>
        </w:rPr>
        <w:t>甲方</w:t>
      </w:r>
      <w:r>
        <w:rPr>
          <w:sz w:val="21"/>
        </w:rPr>
        <w:t>作为报账凭证，</w:t>
      </w:r>
      <w:r>
        <w:rPr>
          <w:sz w:val="21"/>
        </w:rPr>
        <w:t>甲方</w:t>
      </w:r>
      <w:r>
        <w:rPr>
          <w:sz w:val="21"/>
        </w:rPr>
        <w:t>自收到发票后</w:t>
      </w:r>
      <w:r>
        <w:rPr>
          <w:sz w:val="21"/>
        </w:rPr>
        <w:t>10个工作日内按其规章制度办理支付手续向</w:t>
      </w:r>
      <w:r>
        <w:rPr>
          <w:sz w:val="21"/>
        </w:rPr>
        <w:t>乙方</w:t>
      </w:r>
      <w:r>
        <w:rPr>
          <w:sz w:val="21"/>
        </w:rPr>
        <w:t>支付全部合同货款。</w:t>
      </w:r>
    </w:p>
    <w:p>
      <w:pPr>
        <w:pStyle w:val="null3"/>
        <w:ind w:firstLine="420"/>
        <w:jc w:val="both"/>
      </w:pPr>
      <w:r>
        <w:rPr>
          <w:sz w:val="21"/>
        </w:rPr>
        <w:t>若</w:t>
      </w:r>
      <w:r>
        <w:rPr>
          <w:sz w:val="21"/>
        </w:rPr>
        <w:t>乙方</w:t>
      </w:r>
      <w:r>
        <w:rPr>
          <w:sz w:val="21"/>
        </w:rPr>
        <w:t>为中小企业，本项目货款分两期支付：第</w:t>
      </w:r>
      <w:r>
        <w:rPr>
          <w:sz w:val="21"/>
        </w:rPr>
        <w:t>1期为(预付款)：支付比例30%，合同生效后5个工作日内，</w:t>
      </w:r>
      <w:r>
        <w:rPr>
          <w:sz w:val="21"/>
        </w:rPr>
        <w:t>甲方</w:t>
      </w:r>
      <w:r>
        <w:rPr>
          <w:sz w:val="21"/>
        </w:rPr>
        <w:t>收到</w:t>
      </w:r>
      <w:r>
        <w:rPr>
          <w:sz w:val="21"/>
        </w:rPr>
        <w:t>乙方</w:t>
      </w:r>
      <w:r>
        <w:rPr>
          <w:sz w:val="21"/>
        </w:rPr>
        <w:t>开具的增值税专用发票后向</w:t>
      </w:r>
      <w:r>
        <w:rPr>
          <w:sz w:val="21"/>
        </w:rPr>
        <w:t>乙方</w:t>
      </w:r>
      <w:r>
        <w:rPr>
          <w:sz w:val="21"/>
        </w:rPr>
        <w:t>支付</w:t>
      </w:r>
      <w:r>
        <w:rPr>
          <w:sz w:val="21"/>
        </w:rPr>
        <w:t>30%的合同货款作为预付款。第2期为(尾款)：支付比例70%，货物安装调试完毕，经</w:t>
      </w:r>
      <w:r>
        <w:rPr>
          <w:sz w:val="21"/>
        </w:rPr>
        <w:t>甲乙</w:t>
      </w:r>
      <w:r>
        <w:rPr>
          <w:sz w:val="21"/>
        </w:rPr>
        <w:t>双方对货物进行验收合格并完成交付后，</w:t>
      </w:r>
      <w:r>
        <w:rPr>
          <w:sz w:val="21"/>
        </w:rPr>
        <w:t>乙方</w:t>
      </w:r>
      <w:r>
        <w:rPr>
          <w:sz w:val="21"/>
        </w:rPr>
        <w:t>开具增值税专用发票给</w:t>
      </w:r>
      <w:r>
        <w:rPr>
          <w:sz w:val="21"/>
        </w:rPr>
        <w:t>甲方</w:t>
      </w:r>
      <w:r>
        <w:rPr>
          <w:sz w:val="21"/>
        </w:rPr>
        <w:t>作为报账凭证。收到报账凭证后</w:t>
      </w:r>
      <w:r>
        <w:rPr>
          <w:sz w:val="21"/>
        </w:rPr>
        <w:t>10个工作日内，</w:t>
      </w:r>
      <w:r>
        <w:rPr>
          <w:sz w:val="21"/>
        </w:rPr>
        <w:t>甲方</w:t>
      </w:r>
      <w:r>
        <w:rPr>
          <w:sz w:val="21"/>
        </w:rPr>
        <w:t>按其规章制度办理支付手续向</w:t>
      </w:r>
      <w:r>
        <w:rPr>
          <w:sz w:val="21"/>
        </w:rPr>
        <w:t>乙方</w:t>
      </w:r>
      <w:r>
        <w:rPr>
          <w:sz w:val="21"/>
        </w:rPr>
        <w:t>支付剩余</w:t>
      </w:r>
      <w:r>
        <w:rPr>
          <w:sz w:val="21"/>
        </w:rPr>
        <w:t>70%的合同货款。</w:t>
      </w:r>
    </w:p>
    <w:p>
      <w:pPr>
        <w:pStyle w:val="null3"/>
        <w:jc w:val="both"/>
      </w:pPr>
      <w:r>
        <w:rPr>
          <w:sz w:val="28"/>
          <w:b/>
        </w:rPr>
        <w:t>七、培训及售后服务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u w:val="single"/>
        </w:rPr>
        <w:t>****</w:t>
      </w:r>
      <w:r>
        <w:rPr>
          <w:sz w:val="21"/>
        </w:rPr>
        <w:t xml:space="preserve">      </w:t>
      </w:r>
      <w:r>
        <w:rPr>
          <w:sz w:val="21"/>
        </w:rPr>
        <w:t>手机：</w:t>
      </w:r>
      <w:r>
        <w:rPr>
          <w:sz w:val="21"/>
          <w:u w:val="single"/>
        </w:rPr>
        <w:t>****</w:t>
      </w:r>
      <w:r>
        <w:rPr>
          <w:sz w:val="21"/>
        </w:rPr>
        <w:t xml:space="preserve">   </w:t>
      </w:r>
    </w:p>
    <w:p>
      <w:pPr>
        <w:pStyle w:val="null3"/>
        <w:spacing w:before="150"/>
        <w:jc w:val="both"/>
      </w:pPr>
      <w:r>
        <w:rPr>
          <w:sz w:val="28"/>
          <w:b/>
        </w:rPr>
        <w:t>八、</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方除应交纳的前述违约金外，还必须在甲方规定的期限内整改到位（包括但不限于退换货），并承担由</w:t>
      </w:r>
      <w:r>
        <w:rPr>
          <w:sz w:val="21"/>
        </w:rPr>
        <w:t>此产生的全部费用。如果甲方不同意乙方整改的，视为乙方严重违约，甲方可以单方面解除合同，乙方需要退还甲方已支付的所有款项并赔付合同总金额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肖像权、技术秘密、商业秘密或其他任何权益的；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567"/>
        <w:jc w:val="both"/>
      </w:pPr>
      <w:r>
        <w:rPr>
          <w:sz w:val="21"/>
        </w:rPr>
        <w:t>（</w:t>
      </w:r>
      <w:r>
        <w:rPr>
          <w:sz w:val="21"/>
        </w:rPr>
        <w:t>4）违反本合同第十条第4点保密责任的；</w:t>
      </w:r>
    </w:p>
    <w:p>
      <w:pPr>
        <w:pStyle w:val="null3"/>
        <w:ind w:firstLine="420"/>
        <w:jc w:val="both"/>
      </w:pPr>
      <w:r>
        <w:rPr>
          <w:sz w:val="21"/>
        </w:rPr>
        <w:t>（</w:t>
      </w:r>
      <w:r>
        <w:rPr>
          <w:sz w:val="21"/>
        </w:rPr>
        <w:t>5）</w:t>
      </w:r>
      <w:r>
        <w:rPr>
          <w:sz w:val="21"/>
        </w:rPr>
        <w:t>乙方提供的货物实际为</w:t>
      </w:r>
      <w:r>
        <w:rPr>
          <w:sz w:val="21"/>
        </w:rPr>
        <w:t>假冒产品或者非原产国或原产地原厂进口的；</w:t>
      </w:r>
    </w:p>
    <w:p>
      <w:pPr>
        <w:pStyle w:val="null3"/>
        <w:ind w:firstLine="420"/>
        <w:jc w:val="both"/>
      </w:pPr>
      <w:r>
        <w:rPr>
          <w:sz w:val="21"/>
        </w:rPr>
        <w:t>（</w:t>
      </w:r>
      <w:r>
        <w:rPr>
          <w:sz w:val="21"/>
        </w:rPr>
        <w:t>6）</w:t>
      </w:r>
      <w:r>
        <w:rPr>
          <w:sz w:val="21"/>
        </w:rPr>
        <w:t>国家法律规定的其合同解除的情形。</w:t>
      </w:r>
    </w:p>
    <w:p>
      <w:pPr>
        <w:pStyle w:val="null3"/>
        <w:ind w:firstLine="420"/>
        <w:jc w:val="both"/>
      </w:pPr>
      <w:r>
        <w:rPr>
          <w:sz w:val="21"/>
        </w:rPr>
        <w:t>7.</w:t>
      </w:r>
      <w:r>
        <w:rPr>
          <w:sz w:val="21"/>
        </w:rPr>
        <w:t>因乙方或乙方产品原因导致的一切人身、财产损失均由乙方负责赔偿。</w:t>
      </w:r>
    </w:p>
    <w:p>
      <w:pPr>
        <w:pStyle w:val="null3"/>
        <w:spacing w:before="150"/>
        <w:jc w:val="both"/>
      </w:pPr>
      <w:r>
        <w:rPr>
          <w:sz w:val="28"/>
          <w:b/>
        </w:rPr>
        <w:t>九、适用法律与争议解决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双方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w:t>
      </w:r>
      <w:r>
        <w:rPr>
          <w:sz w:val="21"/>
        </w:rPr>
        <w:t>诉讼。</w:t>
      </w:r>
    </w:p>
    <w:p>
      <w:pPr>
        <w:pStyle w:val="null3"/>
        <w:spacing w:before="150"/>
        <w:jc w:val="both"/>
      </w:pPr>
      <w:r>
        <w:rPr>
          <w:sz w:val="28"/>
          <w:b/>
        </w:rPr>
        <w:t>十、风险转移与保密责任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4.合同双方均应保守通过签订履行本合同而获得的对方之商业及技术秘密，包括本合同文本，相关技术文件、相关数据以及其他有关信息，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十一、其他约定条款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四</w:t>
      </w:r>
      <w:r>
        <w:rPr>
          <w:sz w:val="21"/>
        </w:rPr>
        <w:t>份，均为正本</w:t>
      </w:r>
      <w:r>
        <w:rPr>
          <w:sz w:val="21"/>
        </w:rPr>
        <w:t>，</w:t>
      </w:r>
      <w:r>
        <w:rPr>
          <w:sz w:val="21"/>
        </w:rPr>
        <w:t>具有同等法律效力，甲方执</w:t>
      </w:r>
      <w:r>
        <w:rPr>
          <w:sz w:val="21"/>
        </w:rPr>
        <w:t>三</w:t>
      </w:r>
      <w:r>
        <w:rPr>
          <w:sz w:val="21"/>
        </w:rPr>
        <w:t>份</w:t>
      </w:r>
      <w:r>
        <w:rPr>
          <w:sz w:val="21"/>
        </w:rPr>
        <w:t>，乙方一份。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****有限公司</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r>
              <w:rPr>
                <w:sz w:val="21"/>
              </w:rPr>
              <w:t>：</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510006</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r>
              <w:rPr>
                <w:sz w:val="21"/>
              </w:rPr>
              <w:t>拥有者性别</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（□男   □女）</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填联系人邮箱</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r>
    </w:tbl>
    <w:p>
      <w:pPr>
        <w:pStyle w:val="null3"/>
        <w:jc w:val="both"/>
      </w:pPr>
      <w:r>
        <w:rPr/>
        <w:t xml:space="preserve"> </w:t>
      </w:r>
    </w:p>
    <w:p>
      <w:pPr>
        <w:pStyle w:val="null3"/>
        <w:jc w:val="both"/>
      </w:pPr>
      <w:r>
        <w:rPr>
          <w:sz w:val="28"/>
          <w:b/>
        </w:rPr>
        <w:t>附件</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83"/>
        <w:gridCol w:w="2291"/>
        <w:gridCol w:w="5317"/>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48"/>
          <w:b/>
        </w:rPr>
        <w:t xml:space="preserve"> </w:t>
      </w:r>
    </w:p>
    <w:p>
      <w:pPr>
        <w:pStyle w:val="null3"/>
        <w:spacing w:before="0" w:after="0" w:lineRule="auto" w:line="360"/>
        <w:ind w:left="0" w:right="0"/>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440001-2025-34852</w:t>
      </w:r>
    </w:p>
    <w:p>
      <w:pPr>
        <w:pStyle w:val="null3"/>
        <w:jc w:val="center"/>
        <w:outlineLvl w:val="3"/>
      </w:pPr>
      <w:r>
        <w:rPr>
          <w:sz w:val="24"/>
          <w:b/>
        </w:rPr>
        <w:t>采购项目编号：</w:t>
      </w:r>
      <w:r>
        <w:rPr>
          <w:sz w:val="24"/>
          <w:b/>
        </w:rPr>
        <w:t>GZZJ-ZG-2025632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晶圆级高密度激光辅助键合系统(二次)</w:t>
      </w:r>
      <w:r>
        <w:rPr>
          <w:u w:val="single"/>
        </w:rPr>
        <w:t>”</w:t>
      </w:r>
      <w:r>
        <w:rPr/>
        <w:t>项目的招标[采购项目编号为：</w:t>
      </w:r>
      <w:r>
        <w:rPr>
          <w:u w:val="single"/>
        </w:rPr>
        <w:t>GZZJ-ZG-2025632</w:t>
      </w:r>
      <w:r>
        <w:rPr/>
        <w:t>]，我方愿参与投标。</w:t>
      </w:r>
    </w:p>
    <w:p>
      <w:pPr>
        <w:pStyle w:val="null3"/>
        <w:ind w:firstLine="480"/>
      </w:pPr>
      <w:r>
        <w:rPr/>
        <w:t>我方确认收到贵方提供的</w:t>
      </w:r>
      <w:r>
        <w:rPr>
          <w:u w:val="single"/>
        </w:rPr>
        <w:t>“</w:t>
      </w:r>
      <w:r>
        <w:rPr>
          <w:u w:val="single"/>
        </w:rPr>
        <w:t>晶圆级高密度激光辅助键合系统(二次)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晶圆级高密度激光辅助键合系统(二次)</w:t>
      </w:r>
      <w:r>
        <w:rPr/>
        <w:t>”项目采购[采购项目编号为</w:t>
      </w:r>
      <w:r>
        <w:rPr/>
        <w:t>GZZJ-ZG-2025632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晶圆级高密度激光辅助键合系统(二次)</w:t>
      </w:r>
      <w:r>
        <w:rPr/>
        <w:t>招标中获中标（采购项目编号：</w:t>
      </w:r>
      <w:r>
        <w:rPr/>
        <w:t>GZZJ-ZG-2025632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晶圆级高密度激光辅助键合系统(二次)</w:t>
      </w:r>
      <w:r>
        <w:rPr/>
        <w:t>”项目（采购项目编号：</w:t>
      </w:r>
      <w:r>
        <w:rPr/>
        <w:t>GZZJ-ZG-2025632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