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2581C">
      <w:pPr>
        <w:adjustRightInd w:val="0"/>
        <w:snapToGrid w:val="0"/>
        <w:jc w:val="center"/>
        <w:rPr>
          <w:rFonts w:hint="eastAsia" w:ascii="宋体" w:hAnsi="宋体"/>
          <w:bCs/>
          <w:szCs w:val="32"/>
        </w:rPr>
      </w:pPr>
      <w:r>
        <w:rPr>
          <w:rFonts w:hint="eastAsia"/>
          <w:b/>
          <w:sz w:val="44"/>
        </w:rPr>
        <w:drawing>
          <wp:anchor distT="0" distB="0" distL="114300" distR="114300" simplePos="0" relativeHeight="251659264" behindDoc="1" locked="0" layoutInCell="1" allowOverlap="1">
            <wp:simplePos x="0" y="0"/>
            <wp:positionH relativeFrom="column">
              <wp:posOffset>4242435</wp:posOffset>
            </wp:positionH>
            <wp:positionV relativeFrom="paragraph">
              <wp:posOffset>31115</wp:posOffset>
            </wp:positionV>
            <wp:extent cx="1628775" cy="600075"/>
            <wp:effectExtent l="0" t="0" r="9525" b="9525"/>
            <wp:wrapTight wrapText="bothSides">
              <wp:wrapPolygon>
                <wp:start x="-126" y="0"/>
                <wp:lineTo x="-126" y="21257"/>
                <wp:lineTo x="21600" y="21257"/>
                <wp:lineTo x="21600" y="0"/>
                <wp:lineTo x="-126" y="0"/>
              </wp:wrapPolygon>
            </wp:wrapTight>
            <wp:docPr id="11" name="图片 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无标题"/>
                    <pic:cNvPicPr>
                      <a:picLocks noChangeAspect="1"/>
                    </pic:cNvPicPr>
                  </pic:nvPicPr>
                  <pic:blipFill>
                    <a:blip r:embed="rId7"/>
                    <a:stretch>
                      <a:fillRect/>
                    </a:stretch>
                  </pic:blipFill>
                  <pic:spPr>
                    <a:xfrm>
                      <a:off x="0" y="0"/>
                      <a:ext cx="1628775" cy="600075"/>
                    </a:xfrm>
                    <a:prstGeom prst="rect">
                      <a:avLst/>
                    </a:prstGeom>
                    <a:noFill/>
                    <a:ln>
                      <a:noFill/>
                    </a:ln>
                  </pic:spPr>
                </pic:pic>
              </a:graphicData>
            </a:graphic>
          </wp:anchor>
        </w:drawing>
      </w:r>
      <w:r>
        <w:rPr>
          <w:rFonts w:hint="eastAsia" w:ascii="宋体" w:hAnsi="宋体"/>
          <w:b/>
          <w:sz w:val="32"/>
          <w:szCs w:val="32"/>
        </w:rPr>
        <w:t xml:space="preserve">                                           </w:t>
      </w:r>
    </w:p>
    <w:p w14:paraId="18DB006B">
      <w:pPr>
        <w:ind w:right="-281"/>
        <w:jc w:val="right"/>
        <w:rPr>
          <w:rFonts w:ascii="Bookman Old Style" w:hAnsi="Bookman Old Style"/>
          <w:b/>
          <w:sz w:val="28"/>
        </w:rPr>
      </w:pPr>
    </w:p>
    <w:p w14:paraId="24ABBEF9">
      <w:pPr>
        <w:spacing w:after="240" w:afterLines="100" w:line="500" w:lineRule="exact"/>
        <w:jc w:val="center"/>
        <w:rPr>
          <w:b/>
          <w:sz w:val="44"/>
          <w:szCs w:val="44"/>
        </w:rPr>
      </w:pPr>
    </w:p>
    <w:p w14:paraId="6BCA0F7A">
      <w:pPr>
        <w:spacing w:after="240" w:afterLines="100" w:line="500" w:lineRule="exact"/>
        <w:jc w:val="center"/>
        <w:rPr>
          <w:b/>
          <w:sz w:val="52"/>
          <w:szCs w:val="52"/>
        </w:rPr>
      </w:pPr>
    </w:p>
    <w:p w14:paraId="41C09DED">
      <w:pPr>
        <w:spacing w:after="240" w:afterLines="100"/>
        <w:jc w:val="center"/>
        <w:rPr>
          <w:b/>
          <w:sz w:val="52"/>
          <w:szCs w:val="52"/>
        </w:rPr>
      </w:pPr>
      <w:r>
        <w:rPr>
          <w:rFonts w:hint="eastAsia"/>
          <w:b/>
          <w:sz w:val="52"/>
          <w:szCs w:val="52"/>
        </w:rPr>
        <w:t>中国科学院福建物质结构研究所</w:t>
      </w:r>
    </w:p>
    <w:p w14:paraId="15776870">
      <w:pPr>
        <w:spacing w:after="240" w:afterLines="100"/>
        <w:jc w:val="center"/>
        <w:rPr>
          <w:b/>
          <w:sz w:val="52"/>
          <w:szCs w:val="52"/>
        </w:rPr>
      </w:pPr>
      <w:r>
        <w:rPr>
          <w:rFonts w:hint="eastAsia"/>
          <w:b/>
          <w:sz w:val="52"/>
          <w:szCs w:val="52"/>
        </w:rPr>
        <w:t>飞秒激光精密微纳加工系统采购项目</w:t>
      </w:r>
    </w:p>
    <w:p w14:paraId="20EE5446">
      <w:pPr>
        <w:spacing w:line="360" w:lineRule="auto"/>
        <w:jc w:val="center"/>
        <w:rPr>
          <w:b/>
          <w:sz w:val="44"/>
        </w:rPr>
      </w:pPr>
    </w:p>
    <w:p w14:paraId="7223D51F">
      <w:pPr>
        <w:spacing w:line="360" w:lineRule="auto"/>
        <w:rPr>
          <w:b/>
          <w:sz w:val="44"/>
        </w:rPr>
      </w:pPr>
    </w:p>
    <w:p w14:paraId="63B40257">
      <w:pPr>
        <w:spacing w:line="360" w:lineRule="auto"/>
        <w:jc w:val="center"/>
        <w:rPr>
          <w:rFonts w:hint="eastAsia" w:ascii="宋体" w:hAnsi="宋体"/>
          <w:b/>
          <w:szCs w:val="21"/>
        </w:rPr>
      </w:pPr>
      <w:r>
        <w:rPr>
          <w:rFonts w:hint="eastAsia" w:ascii="宋体" w:hAnsi="宋体"/>
          <w:b/>
          <w:sz w:val="72"/>
          <w:szCs w:val="52"/>
        </w:rPr>
        <w:t>招</w:t>
      </w:r>
      <w:r>
        <w:rPr>
          <w:rFonts w:ascii="宋体" w:hAnsi="宋体"/>
          <w:b/>
          <w:sz w:val="72"/>
          <w:szCs w:val="52"/>
        </w:rPr>
        <w:t xml:space="preserve">  </w:t>
      </w:r>
      <w:r>
        <w:rPr>
          <w:rFonts w:hint="eastAsia" w:ascii="宋体" w:hAnsi="宋体"/>
          <w:b/>
          <w:sz w:val="72"/>
          <w:szCs w:val="52"/>
        </w:rPr>
        <w:t>标</w:t>
      </w:r>
      <w:r>
        <w:rPr>
          <w:rFonts w:ascii="宋体" w:hAnsi="宋体"/>
          <w:b/>
          <w:sz w:val="72"/>
          <w:szCs w:val="52"/>
        </w:rPr>
        <w:t xml:space="preserve">  </w:t>
      </w:r>
      <w:r>
        <w:rPr>
          <w:rFonts w:hint="eastAsia" w:ascii="宋体" w:hAnsi="宋体"/>
          <w:b/>
          <w:sz w:val="72"/>
          <w:szCs w:val="52"/>
        </w:rPr>
        <w:t>文</w:t>
      </w:r>
      <w:r>
        <w:rPr>
          <w:rFonts w:ascii="宋体" w:hAnsi="宋体"/>
          <w:b/>
          <w:sz w:val="72"/>
          <w:szCs w:val="52"/>
        </w:rPr>
        <w:t xml:space="preserve">  </w:t>
      </w:r>
      <w:r>
        <w:rPr>
          <w:rFonts w:hint="eastAsia" w:ascii="宋体" w:hAnsi="宋体"/>
          <w:b/>
          <w:sz w:val="72"/>
          <w:szCs w:val="52"/>
        </w:rPr>
        <w:t>件</w:t>
      </w:r>
    </w:p>
    <w:p w14:paraId="0BCABC05">
      <w:pPr>
        <w:spacing w:line="360" w:lineRule="auto"/>
        <w:jc w:val="center"/>
        <w:rPr>
          <w:rFonts w:hint="eastAsia" w:ascii="宋体" w:hAnsi="宋体"/>
          <w:b/>
          <w:sz w:val="32"/>
          <w:szCs w:val="32"/>
        </w:rPr>
      </w:pPr>
    </w:p>
    <w:p w14:paraId="7B9BBB51">
      <w:pPr>
        <w:spacing w:line="360" w:lineRule="auto"/>
        <w:jc w:val="center"/>
        <w:rPr>
          <w:rFonts w:hint="eastAsia" w:ascii="宋体" w:hAnsi="宋体"/>
          <w:b/>
          <w:sz w:val="30"/>
          <w:szCs w:val="30"/>
        </w:rPr>
      </w:pPr>
    </w:p>
    <w:p w14:paraId="206E18C6">
      <w:pPr>
        <w:spacing w:line="360" w:lineRule="auto"/>
        <w:ind w:firstLine="2168" w:firstLineChars="600"/>
        <w:rPr>
          <w:rFonts w:hint="eastAsia" w:eastAsia="宋体"/>
          <w:b/>
          <w:sz w:val="32"/>
          <w:u w:val="single"/>
          <w:lang w:eastAsia="zh-CN"/>
        </w:rPr>
      </w:pPr>
      <w:r>
        <w:rPr>
          <w:rFonts w:hint="eastAsia" w:ascii="宋体" w:hAnsi="宋体"/>
          <w:b/>
          <w:sz w:val="36"/>
          <w:szCs w:val="36"/>
        </w:rPr>
        <w:t>招标编号：</w:t>
      </w:r>
      <w:r>
        <w:rPr>
          <w:rFonts w:hint="eastAsia" w:ascii="宋体" w:hAnsi="宋体"/>
          <w:b/>
          <w:sz w:val="36"/>
          <w:szCs w:val="36"/>
          <w:u w:val="single"/>
          <w:lang w:eastAsia="zh-CN"/>
        </w:rPr>
        <w:t>OITC-G250302992</w:t>
      </w:r>
    </w:p>
    <w:p w14:paraId="3AB931A2">
      <w:pPr>
        <w:spacing w:line="360" w:lineRule="auto"/>
        <w:jc w:val="center"/>
        <w:rPr>
          <w:b/>
          <w:sz w:val="32"/>
        </w:rPr>
      </w:pPr>
    </w:p>
    <w:p w14:paraId="6DB1D530">
      <w:pPr>
        <w:spacing w:line="360" w:lineRule="auto"/>
        <w:jc w:val="center"/>
        <w:rPr>
          <w:b/>
          <w:sz w:val="32"/>
        </w:rPr>
      </w:pPr>
    </w:p>
    <w:p w14:paraId="5A4C7B43">
      <w:pPr>
        <w:adjustRightInd w:val="0"/>
        <w:snapToGrid w:val="0"/>
        <w:spacing w:before="120"/>
        <w:ind w:firstLine="1204" w:firstLineChars="300"/>
        <w:rPr>
          <w:rFonts w:hint="eastAsia" w:ascii="宋体" w:hAnsi="宋体"/>
          <w:b/>
          <w:bCs/>
          <w:snapToGrid w:val="0"/>
          <w:spacing w:val="20"/>
          <w:sz w:val="36"/>
          <w:szCs w:val="36"/>
          <w:u w:val="single"/>
        </w:rPr>
      </w:pPr>
      <w:r>
        <w:rPr>
          <w:rFonts w:hint="eastAsia" w:ascii="宋体" w:hAnsi="宋体"/>
          <w:b/>
          <w:bCs/>
          <w:snapToGrid w:val="0"/>
          <w:spacing w:val="20"/>
          <w:sz w:val="36"/>
          <w:szCs w:val="36"/>
        </w:rPr>
        <w:t>采购人：</w:t>
      </w:r>
      <w:r>
        <w:rPr>
          <w:rFonts w:hint="eastAsia" w:ascii="宋体" w:hAnsi="宋体"/>
          <w:b/>
          <w:bCs/>
          <w:snapToGrid w:val="0"/>
          <w:spacing w:val="20"/>
          <w:sz w:val="36"/>
          <w:szCs w:val="36"/>
          <w:u w:val="single"/>
        </w:rPr>
        <w:t>中国科学院福建物质结构研究所</w:t>
      </w:r>
    </w:p>
    <w:p w14:paraId="432197AD">
      <w:pPr>
        <w:adjustRightInd w:val="0"/>
        <w:snapToGrid w:val="0"/>
        <w:spacing w:before="120"/>
        <w:ind w:firstLine="1204" w:firstLineChars="300"/>
        <w:rPr>
          <w:rFonts w:hint="eastAsia" w:ascii="宋体" w:hAnsi="宋体"/>
          <w:b/>
          <w:bCs/>
          <w:snapToGrid w:val="0"/>
          <w:spacing w:val="20"/>
          <w:sz w:val="36"/>
          <w:szCs w:val="36"/>
        </w:rPr>
      </w:pPr>
      <w:r>
        <w:rPr>
          <w:rFonts w:hint="eastAsia" w:ascii="宋体" w:hAnsi="宋体"/>
          <w:b/>
          <w:bCs/>
          <w:snapToGrid w:val="0"/>
          <w:spacing w:val="20"/>
          <w:sz w:val="36"/>
          <w:szCs w:val="36"/>
        </w:rPr>
        <w:t>采购代理机构：东方国际招标有限责任公司</w:t>
      </w:r>
    </w:p>
    <w:p w14:paraId="7AC4959F">
      <w:pPr>
        <w:adjustRightInd w:val="0"/>
        <w:snapToGrid w:val="0"/>
        <w:jc w:val="center"/>
        <w:rPr>
          <w:rFonts w:hint="eastAsia" w:ascii="宋体" w:hAnsi="宋体"/>
          <w:b/>
          <w:snapToGrid w:val="0"/>
          <w:sz w:val="36"/>
          <w:szCs w:val="36"/>
        </w:rPr>
      </w:pPr>
    </w:p>
    <w:p w14:paraId="62ACE36E">
      <w:pPr>
        <w:adjustRightInd w:val="0"/>
        <w:snapToGrid w:val="0"/>
        <w:jc w:val="center"/>
        <w:rPr>
          <w:rFonts w:hint="eastAsia" w:ascii="宋体" w:hAnsi="宋体"/>
          <w:b/>
          <w:sz w:val="32"/>
          <w:szCs w:val="32"/>
        </w:rPr>
      </w:pPr>
      <w:r>
        <w:rPr>
          <w:rFonts w:hint="eastAsia" w:ascii="宋体" w:hAnsi="宋体"/>
          <w:b/>
          <w:snapToGrid w:val="0"/>
          <w:sz w:val="36"/>
          <w:szCs w:val="36"/>
        </w:rPr>
        <w:t>2025年0</w:t>
      </w:r>
      <w:r>
        <w:rPr>
          <w:rFonts w:hint="eastAsia" w:ascii="宋体" w:hAnsi="宋体"/>
          <w:b/>
          <w:snapToGrid w:val="0"/>
          <w:sz w:val="36"/>
          <w:szCs w:val="36"/>
          <w:lang w:val="en-US" w:eastAsia="zh-CN"/>
        </w:rPr>
        <w:t>9</w:t>
      </w:r>
      <w:r>
        <w:rPr>
          <w:rFonts w:hint="eastAsia" w:ascii="宋体" w:hAnsi="宋体"/>
          <w:b/>
          <w:snapToGrid w:val="0"/>
          <w:sz w:val="36"/>
          <w:szCs w:val="36"/>
        </w:rPr>
        <w:t>月</w:t>
      </w:r>
    </w:p>
    <w:p w14:paraId="1D9DD7BE">
      <w:pPr>
        <w:adjustRightInd w:val="0"/>
        <w:snapToGrid w:val="0"/>
        <w:spacing w:line="360" w:lineRule="auto"/>
        <w:jc w:val="center"/>
        <w:rPr>
          <w:b/>
          <w:sz w:val="28"/>
          <w:szCs w:val="28"/>
        </w:rPr>
      </w:pPr>
      <w:r>
        <w:br w:type="page"/>
      </w:r>
      <w:r>
        <w:rPr>
          <w:rFonts w:hint="eastAsia"/>
          <w:b/>
          <w:sz w:val="28"/>
          <w:szCs w:val="28"/>
        </w:rPr>
        <w:t>目录</w:t>
      </w:r>
    </w:p>
    <w:p w14:paraId="4B6A5343">
      <w:pPr>
        <w:pStyle w:val="27"/>
        <w:adjustRightInd w:val="0"/>
        <w:snapToGrid w:val="0"/>
        <w:spacing w:line="360" w:lineRule="auto"/>
        <w:rPr>
          <w:rFonts w:hint="eastAsia" w:ascii="宋体" w:eastAsia="宋体" w:cs="Times New Roman"/>
          <w:color w:val="auto"/>
          <w:sz w:val="24"/>
          <w:szCs w:val="24"/>
        </w:rPr>
      </w:pPr>
      <w:r>
        <w:rPr>
          <w:rFonts w:ascii="宋体" w:eastAsia="宋体"/>
          <w:b/>
          <w:color w:val="auto"/>
          <w:sz w:val="24"/>
          <w:szCs w:val="24"/>
        </w:rPr>
        <w:fldChar w:fldCharType="begin"/>
      </w:r>
      <w:r>
        <w:rPr>
          <w:rFonts w:ascii="宋体" w:eastAsia="宋体"/>
          <w:b/>
          <w:color w:val="auto"/>
          <w:sz w:val="24"/>
          <w:szCs w:val="24"/>
        </w:rPr>
        <w:instrText xml:space="preserve"> TOC \o "1-3" \h \z \u </w:instrText>
      </w:r>
      <w:r>
        <w:rPr>
          <w:rFonts w:ascii="宋体" w:eastAsia="宋体"/>
          <w:b/>
          <w:color w:val="auto"/>
          <w:sz w:val="24"/>
          <w:szCs w:val="24"/>
        </w:rPr>
        <w:fldChar w:fldCharType="separate"/>
      </w:r>
      <w:r>
        <w:fldChar w:fldCharType="begin"/>
      </w:r>
      <w:r>
        <w:instrText xml:space="preserve"> HYPERLINK \l "_Toc129880032" </w:instrText>
      </w:r>
      <w:r>
        <w:fldChar w:fldCharType="separate"/>
      </w:r>
      <w:r>
        <w:rPr>
          <w:rStyle w:val="45"/>
          <w:rFonts w:hint="eastAsia" w:ascii="宋体" w:eastAsia="宋体"/>
          <w:b/>
          <w:color w:val="auto"/>
          <w:sz w:val="24"/>
          <w:szCs w:val="24"/>
        </w:rPr>
        <w:t>第一部分</w:t>
      </w:r>
      <w:r>
        <w:rPr>
          <w:rStyle w:val="45"/>
          <w:rFonts w:ascii="宋体" w:eastAsia="宋体"/>
          <w:b/>
          <w:color w:val="auto"/>
          <w:sz w:val="24"/>
          <w:szCs w:val="24"/>
        </w:rPr>
        <w:t xml:space="preserve"> </w:t>
      </w:r>
      <w:r>
        <w:rPr>
          <w:rStyle w:val="45"/>
          <w:rFonts w:hint="eastAsia" w:ascii="宋体" w:eastAsia="宋体"/>
          <w:b/>
          <w:color w:val="auto"/>
          <w:sz w:val="24"/>
          <w:szCs w:val="24"/>
        </w:rPr>
        <w:t>投标邀请</w:t>
      </w:r>
      <w:r>
        <w:rPr>
          <w:rFonts w:ascii="宋体" w:eastAsia="宋体"/>
          <w:color w:val="auto"/>
          <w:sz w:val="24"/>
          <w:szCs w:val="24"/>
        </w:rPr>
        <w:tab/>
      </w:r>
      <w:r>
        <w:rPr>
          <w:rFonts w:ascii="宋体" w:eastAsia="宋体"/>
          <w:color w:val="auto"/>
          <w:sz w:val="24"/>
          <w:szCs w:val="24"/>
        </w:rPr>
        <w:fldChar w:fldCharType="begin"/>
      </w:r>
      <w:r>
        <w:rPr>
          <w:rFonts w:ascii="宋体" w:eastAsia="宋体"/>
          <w:color w:val="auto"/>
          <w:sz w:val="24"/>
          <w:szCs w:val="24"/>
        </w:rPr>
        <w:instrText xml:space="preserve"> PAGEREF _Toc129880032 \h </w:instrText>
      </w:r>
      <w:r>
        <w:rPr>
          <w:rFonts w:ascii="宋体" w:eastAsia="宋体"/>
          <w:color w:val="auto"/>
          <w:sz w:val="24"/>
          <w:szCs w:val="24"/>
        </w:rPr>
        <w:fldChar w:fldCharType="separate"/>
      </w:r>
      <w:r>
        <w:rPr>
          <w:rFonts w:ascii="宋体" w:eastAsia="宋体"/>
          <w:color w:val="auto"/>
          <w:sz w:val="24"/>
          <w:szCs w:val="24"/>
        </w:rPr>
        <w:t>2</w:t>
      </w:r>
      <w:r>
        <w:rPr>
          <w:rFonts w:ascii="宋体" w:eastAsia="宋体"/>
          <w:color w:val="auto"/>
          <w:sz w:val="24"/>
          <w:szCs w:val="24"/>
        </w:rPr>
        <w:fldChar w:fldCharType="end"/>
      </w:r>
      <w:r>
        <w:rPr>
          <w:rFonts w:ascii="宋体" w:eastAsia="宋体"/>
          <w:color w:val="auto"/>
          <w:sz w:val="24"/>
          <w:szCs w:val="24"/>
        </w:rPr>
        <w:fldChar w:fldCharType="end"/>
      </w:r>
    </w:p>
    <w:p w14:paraId="490916DE">
      <w:pPr>
        <w:pStyle w:val="27"/>
        <w:adjustRightInd w:val="0"/>
        <w:snapToGrid w:val="0"/>
        <w:spacing w:line="360" w:lineRule="auto"/>
        <w:rPr>
          <w:rFonts w:hint="eastAsia" w:ascii="宋体" w:eastAsia="宋体" w:cs="Times New Roman"/>
          <w:color w:val="auto"/>
          <w:sz w:val="24"/>
          <w:szCs w:val="24"/>
        </w:rPr>
      </w:pPr>
      <w:r>
        <w:fldChar w:fldCharType="begin"/>
      </w:r>
      <w:r>
        <w:instrText xml:space="preserve"> HYPERLINK \l "_Toc129880033" </w:instrText>
      </w:r>
      <w:r>
        <w:fldChar w:fldCharType="separate"/>
      </w:r>
      <w:r>
        <w:rPr>
          <w:rStyle w:val="45"/>
          <w:rFonts w:hint="eastAsia" w:ascii="宋体" w:eastAsia="宋体"/>
          <w:b/>
          <w:color w:val="auto"/>
          <w:sz w:val="24"/>
          <w:szCs w:val="24"/>
        </w:rPr>
        <w:t>第二部分</w:t>
      </w:r>
      <w:r>
        <w:rPr>
          <w:rStyle w:val="45"/>
          <w:rFonts w:ascii="宋体" w:eastAsia="宋体"/>
          <w:b/>
          <w:color w:val="auto"/>
          <w:sz w:val="24"/>
          <w:szCs w:val="24"/>
        </w:rPr>
        <w:t xml:space="preserve"> </w:t>
      </w:r>
      <w:r>
        <w:rPr>
          <w:rStyle w:val="45"/>
          <w:rFonts w:hint="eastAsia" w:ascii="宋体" w:eastAsia="宋体"/>
          <w:b/>
          <w:color w:val="auto"/>
          <w:sz w:val="24"/>
          <w:szCs w:val="24"/>
        </w:rPr>
        <w:t>投标人须知资料表</w:t>
      </w:r>
      <w:r>
        <w:rPr>
          <w:rFonts w:ascii="宋体" w:eastAsia="宋体"/>
          <w:color w:val="auto"/>
          <w:sz w:val="24"/>
          <w:szCs w:val="24"/>
        </w:rPr>
        <w:tab/>
      </w:r>
      <w:r>
        <w:rPr>
          <w:rFonts w:ascii="宋体" w:eastAsia="宋体"/>
          <w:color w:val="auto"/>
          <w:sz w:val="24"/>
          <w:szCs w:val="24"/>
        </w:rPr>
        <w:fldChar w:fldCharType="begin"/>
      </w:r>
      <w:r>
        <w:rPr>
          <w:rFonts w:ascii="宋体" w:eastAsia="宋体"/>
          <w:color w:val="auto"/>
          <w:sz w:val="24"/>
          <w:szCs w:val="24"/>
        </w:rPr>
        <w:instrText xml:space="preserve"> PAGEREF _Toc129880033 \h </w:instrText>
      </w:r>
      <w:r>
        <w:rPr>
          <w:rFonts w:ascii="宋体" w:eastAsia="宋体"/>
          <w:color w:val="auto"/>
          <w:sz w:val="24"/>
          <w:szCs w:val="24"/>
        </w:rPr>
        <w:fldChar w:fldCharType="separate"/>
      </w:r>
      <w:r>
        <w:rPr>
          <w:rFonts w:ascii="宋体" w:eastAsia="宋体"/>
          <w:color w:val="auto"/>
          <w:sz w:val="24"/>
          <w:szCs w:val="24"/>
        </w:rPr>
        <w:t>6</w:t>
      </w:r>
      <w:r>
        <w:rPr>
          <w:rFonts w:ascii="宋体" w:eastAsia="宋体"/>
          <w:color w:val="auto"/>
          <w:sz w:val="24"/>
          <w:szCs w:val="24"/>
        </w:rPr>
        <w:fldChar w:fldCharType="end"/>
      </w:r>
      <w:r>
        <w:rPr>
          <w:rFonts w:ascii="宋体" w:eastAsia="宋体"/>
          <w:color w:val="auto"/>
          <w:sz w:val="24"/>
          <w:szCs w:val="24"/>
        </w:rPr>
        <w:fldChar w:fldCharType="end"/>
      </w:r>
    </w:p>
    <w:p w14:paraId="7CBF2134">
      <w:pPr>
        <w:pStyle w:val="27"/>
        <w:adjustRightInd w:val="0"/>
        <w:snapToGrid w:val="0"/>
        <w:spacing w:line="360" w:lineRule="auto"/>
        <w:rPr>
          <w:rFonts w:hint="eastAsia" w:ascii="宋体" w:eastAsia="宋体" w:cs="Times New Roman"/>
          <w:color w:val="auto"/>
          <w:sz w:val="24"/>
          <w:szCs w:val="24"/>
        </w:rPr>
      </w:pPr>
      <w:r>
        <w:fldChar w:fldCharType="begin"/>
      </w:r>
      <w:r>
        <w:instrText xml:space="preserve"> HYPERLINK \l "_Toc129880034" </w:instrText>
      </w:r>
      <w:r>
        <w:fldChar w:fldCharType="separate"/>
      </w:r>
      <w:r>
        <w:rPr>
          <w:rStyle w:val="45"/>
          <w:rFonts w:hint="eastAsia" w:ascii="宋体" w:eastAsia="宋体"/>
          <w:b/>
          <w:color w:val="auto"/>
          <w:sz w:val="24"/>
          <w:szCs w:val="24"/>
        </w:rPr>
        <w:t>第三部分</w:t>
      </w:r>
      <w:r>
        <w:rPr>
          <w:rStyle w:val="45"/>
          <w:rFonts w:ascii="宋体" w:eastAsia="宋体"/>
          <w:b/>
          <w:color w:val="auto"/>
          <w:sz w:val="24"/>
          <w:szCs w:val="24"/>
        </w:rPr>
        <w:t xml:space="preserve"> </w:t>
      </w:r>
      <w:r>
        <w:rPr>
          <w:rStyle w:val="45"/>
          <w:rFonts w:hint="eastAsia" w:ascii="宋体" w:eastAsia="宋体"/>
          <w:b/>
          <w:color w:val="auto"/>
          <w:sz w:val="24"/>
          <w:szCs w:val="24"/>
        </w:rPr>
        <w:t>投标人须知</w:t>
      </w:r>
      <w:r>
        <w:rPr>
          <w:rFonts w:ascii="宋体" w:eastAsia="宋体"/>
          <w:color w:val="auto"/>
          <w:sz w:val="24"/>
          <w:szCs w:val="24"/>
        </w:rPr>
        <w:tab/>
      </w:r>
      <w:r>
        <w:rPr>
          <w:rFonts w:ascii="宋体" w:eastAsia="宋体"/>
          <w:color w:val="auto"/>
          <w:sz w:val="24"/>
          <w:szCs w:val="24"/>
        </w:rPr>
        <w:fldChar w:fldCharType="begin"/>
      </w:r>
      <w:r>
        <w:rPr>
          <w:rFonts w:ascii="宋体" w:eastAsia="宋体"/>
          <w:color w:val="auto"/>
          <w:sz w:val="24"/>
          <w:szCs w:val="24"/>
        </w:rPr>
        <w:instrText xml:space="preserve"> PAGEREF _Toc129880034 \h </w:instrText>
      </w:r>
      <w:r>
        <w:rPr>
          <w:rFonts w:ascii="宋体" w:eastAsia="宋体"/>
          <w:color w:val="auto"/>
          <w:sz w:val="24"/>
          <w:szCs w:val="24"/>
        </w:rPr>
        <w:fldChar w:fldCharType="separate"/>
      </w:r>
      <w:r>
        <w:rPr>
          <w:rFonts w:ascii="宋体" w:eastAsia="宋体"/>
          <w:color w:val="auto"/>
          <w:sz w:val="24"/>
          <w:szCs w:val="24"/>
        </w:rPr>
        <w:t>12</w:t>
      </w:r>
      <w:r>
        <w:rPr>
          <w:rFonts w:ascii="宋体" w:eastAsia="宋体"/>
          <w:color w:val="auto"/>
          <w:sz w:val="24"/>
          <w:szCs w:val="24"/>
        </w:rPr>
        <w:fldChar w:fldCharType="end"/>
      </w:r>
      <w:r>
        <w:rPr>
          <w:rFonts w:ascii="宋体" w:eastAsia="宋体"/>
          <w:color w:val="auto"/>
          <w:sz w:val="24"/>
          <w:szCs w:val="24"/>
        </w:rPr>
        <w:fldChar w:fldCharType="end"/>
      </w:r>
    </w:p>
    <w:p w14:paraId="4B69D0EF">
      <w:pPr>
        <w:pStyle w:val="27"/>
        <w:adjustRightInd w:val="0"/>
        <w:snapToGrid w:val="0"/>
        <w:spacing w:line="360" w:lineRule="auto"/>
        <w:rPr>
          <w:rFonts w:hint="eastAsia" w:ascii="宋体" w:eastAsia="宋体" w:cs="Times New Roman"/>
          <w:color w:val="auto"/>
          <w:sz w:val="24"/>
          <w:szCs w:val="24"/>
        </w:rPr>
      </w:pPr>
      <w:r>
        <w:fldChar w:fldCharType="begin"/>
      </w:r>
      <w:r>
        <w:instrText xml:space="preserve"> HYPERLINK \l "_Toc129880035" </w:instrText>
      </w:r>
      <w:r>
        <w:fldChar w:fldCharType="separate"/>
      </w:r>
      <w:r>
        <w:rPr>
          <w:rStyle w:val="45"/>
          <w:rFonts w:hint="eastAsia" w:ascii="宋体" w:eastAsia="宋体"/>
          <w:b/>
          <w:color w:val="auto"/>
          <w:sz w:val="24"/>
          <w:szCs w:val="24"/>
        </w:rPr>
        <w:t>第四部分</w:t>
      </w:r>
      <w:r>
        <w:rPr>
          <w:rStyle w:val="45"/>
          <w:rFonts w:ascii="宋体" w:eastAsia="宋体"/>
          <w:b/>
          <w:color w:val="auto"/>
          <w:sz w:val="24"/>
          <w:szCs w:val="24"/>
        </w:rPr>
        <w:t xml:space="preserve"> </w:t>
      </w:r>
      <w:r>
        <w:rPr>
          <w:rStyle w:val="45"/>
          <w:rFonts w:hint="eastAsia" w:ascii="宋体" w:eastAsia="宋体"/>
          <w:b/>
          <w:color w:val="auto"/>
          <w:sz w:val="24"/>
          <w:szCs w:val="24"/>
        </w:rPr>
        <w:t>合同一般条款及格式</w:t>
      </w:r>
      <w:r>
        <w:rPr>
          <w:rFonts w:ascii="宋体" w:eastAsia="宋体"/>
          <w:color w:val="auto"/>
          <w:sz w:val="24"/>
          <w:szCs w:val="24"/>
        </w:rPr>
        <w:tab/>
      </w:r>
      <w:r>
        <w:rPr>
          <w:rFonts w:ascii="宋体" w:eastAsia="宋体"/>
          <w:color w:val="auto"/>
          <w:sz w:val="24"/>
          <w:szCs w:val="24"/>
        </w:rPr>
        <w:fldChar w:fldCharType="begin"/>
      </w:r>
      <w:r>
        <w:rPr>
          <w:rFonts w:ascii="宋体" w:eastAsia="宋体"/>
          <w:color w:val="auto"/>
          <w:sz w:val="24"/>
          <w:szCs w:val="24"/>
        </w:rPr>
        <w:instrText xml:space="preserve"> PAGEREF _Toc129880035 \h </w:instrText>
      </w:r>
      <w:r>
        <w:rPr>
          <w:rFonts w:ascii="宋体" w:eastAsia="宋体"/>
          <w:color w:val="auto"/>
          <w:sz w:val="24"/>
          <w:szCs w:val="24"/>
        </w:rPr>
        <w:fldChar w:fldCharType="separate"/>
      </w:r>
      <w:r>
        <w:rPr>
          <w:rFonts w:ascii="宋体" w:eastAsia="宋体"/>
          <w:color w:val="auto"/>
          <w:sz w:val="24"/>
          <w:szCs w:val="24"/>
        </w:rPr>
        <w:t>27</w:t>
      </w:r>
      <w:r>
        <w:rPr>
          <w:rFonts w:ascii="宋体" w:eastAsia="宋体"/>
          <w:color w:val="auto"/>
          <w:sz w:val="24"/>
          <w:szCs w:val="24"/>
        </w:rPr>
        <w:fldChar w:fldCharType="end"/>
      </w:r>
      <w:r>
        <w:rPr>
          <w:rFonts w:ascii="宋体" w:eastAsia="宋体"/>
          <w:color w:val="auto"/>
          <w:sz w:val="24"/>
          <w:szCs w:val="24"/>
        </w:rPr>
        <w:fldChar w:fldCharType="end"/>
      </w:r>
    </w:p>
    <w:p w14:paraId="35814335">
      <w:pPr>
        <w:pStyle w:val="27"/>
        <w:adjustRightInd w:val="0"/>
        <w:snapToGrid w:val="0"/>
        <w:spacing w:line="360" w:lineRule="auto"/>
        <w:rPr>
          <w:rFonts w:hint="eastAsia" w:ascii="宋体" w:eastAsia="宋体" w:cs="Times New Roman"/>
          <w:color w:val="auto"/>
          <w:sz w:val="24"/>
          <w:szCs w:val="24"/>
        </w:rPr>
      </w:pPr>
      <w:r>
        <w:fldChar w:fldCharType="begin"/>
      </w:r>
      <w:r>
        <w:instrText xml:space="preserve"> HYPERLINK \l "_Toc129880036" </w:instrText>
      </w:r>
      <w:r>
        <w:fldChar w:fldCharType="separate"/>
      </w:r>
      <w:r>
        <w:rPr>
          <w:rStyle w:val="45"/>
          <w:rFonts w:hint="eastAsia" w:ascii="宋体" w:eastAsia="宋体"/>
          <w:b/>
          <w:color w:val="auto"/>
          <w:sz w:val="24"/>
          <w:szCs w:val="24"/>
        </w:rPr>
        <w:t>第五部分</w:t>
      </w:r>
      <w:r>
        <w:rPr>
          <w:rStyle w:val="45"/>
          <w:rFonts w:ascii="宋体" w:eastAsia="宋体"/>
          <w:b/>
          <w:color w:val="auto"/>
          <w:sz w:val="24"/>
          <w:szCs w:val="24"/>
        </w:rPr>
        <w:t xml:space="preserve"> </w:t>
      </w:r>
      <w:r>
        <w:rPr>
          <w:rStyle w:val="45"/>
          <w:rFonts w:hint="eastAsia" w:ascii="宋体" w:eastAsia="宋体"/>
          <w:b/>
          <w:color w:val="auto"/>
          <w:sz w:val="24"/>
          <w:szCs w:val="24"/>
        </w:rPr>
        <w:t>合同特殊条款</w:t>
      </w:r>
      <w:r>
        <w:rPr>
          <w:rFonts w:ascii="宋体" w:eastAsia="宋体"/>
          <w:color w:val="auto"/>
          <w:sz w:val="24"/>
          <w:szCs w:val="24"/>
        </w:rPr>
        <w:tab/>
      </w:r>
      <w:r>
        <w:rPr>
          <w:rFonts w:ascii="宋体" w:eastAsia="宋体"/>
          <w:color w:val="auto"/>
          <w:sz w:val="24"/>
          <w:szCs w:val="24"/>
        </w:rPr>
        <w:fldChar w:fldCharType="begin"/>
      </w:r>
      <w:r>
        <w:rPr>
          <w:rFonts w:ascii="宋体" w:eastAsia="宋体"/>
          <w:color w:val="auto"/>
          <w:sz w:val="24"/>
          <w:szCs w:val="24"/>
        </w:rPr>
        <w:instrText xml:space="preserve"> PAGEREF _Toc129880036 \h </w:instrText>
      </w:r>
      <w:r>
        <w:rPr>
          <w:rFonts w:ascii="宋体" w:eastAsia="宋体"/>
          <w:color w:val="auto"/>
          <w:sz w:val="24"/>
          <w:szCs w:val="24"/>
        </w:rPr>
        <w:fldChar w:fldCharType="separate"/>
      </w:r>
      <w:r>
        <w:rPr>
          <w:rFonts w:ascii="宋体" w:eastAsia="宋体"/>
          <w:color w:val="auto"/>
          <w:sz w:val="24"/>
          <w:szCs w:val="24"/>
        </w:rPr>
        <w:t>38</w:t>
      </w:r>
      <w:r>
        <w:rPr>
          <w:rFonts w:ascii="宋体" w:eastAsia="宋体"/>
          <w:color w:val="auto"/>
          <w:sz w:val="24"/>
          <w:szCs w:val="24"/>
        </w:rPr>
        <w:fldChar w:fldCharType="end"/>
      </w:r>
      <w:r>
        <w:rPr>
          <w:rFonts w:ascii="宋体" w:eastAsia="宋体"/>
          <w:color w:val="auto"/>
          <w:sz w:val="24"/>
          <w:szCs w:val="24"/>
        </w:rPr>
        <w:fldChar w:fldCharType="end"/>
      </w:r>
    </w:p>
    <w:p w14:paraId="3AFC0EB0">
      <w:pPr>
        <w:pStyle w:val="27"/>
        <w:adjustRightInd w:val="0"/>
        <w:snapToGrid w:val="0"/>
        <w:spacing w:line="360" w:lineRule="auto"/>
        <w:rPr>
          <w:rFonts w:hint="eastAsia" w:ascii="宋体" w:eastAsia="宋体" w:cs="Times New Roman"/>
          <w:color w:val="auto"/>
          <w:sz w:val="24"/>
          <w:szCs w:val="24"/>
        </w:rPr>
      </w:pPr>
      <w:r>
        <w:fldChar w:fldCharType="begin"/>
      </w:r>
      <w:r>
        <w:instrText xml:space="preserve"> HYPERLINK \l "_Toc129880037" </w:instrText>
      </w:r>
      <w:r>
        <w:fldChar w:fldCharType="separate"/>
      </w:r>
      <w:r>
        <w:rPr>
          <w:rStyle w:val="45"/>
          <w:rFonts w:hint="eastAsia" w:ascii="宋体" w:eastAsia="宋体"/>
          <w:b/>
          <w:color w:val="auto"/>
          <w:sz w:val="24"/>
          <w:szCs w:val="24"/>
        </w:rPr>
        <w:t>第六部分</w:t>
      </w:r>
      <w:r>
        <w:rPr>
          <w:rStyle w:val="45"/>
          <w:rFonts w:ascii="宋体" w:eastAsia="宋体"/>
          <w:b/>
          <w:color w:val="auto"/>
          <w:sz w:val="24"/>
          <w:szCs w:val="24"/>
        </w:rPr>
        <w:t xml:space="preserve"> </w:t>
      </w:r>
      <w:r>
        <w:rPr>
          <w:rStyle w:val="45"/>
          <w:rFonts w:hint="eastAsia" w:ascii="宋体" w:eastAsia="宋体"/>
          <w:b/>
          <w:color w:val="auto"/>
          <w:sz w:val="24"/>
          <w:szCs w:val="24"/>
        </w:rPr>
        <w:t>附件</w:t>
      </w:r>
      <w:r>
        <w:rPr>
          <w:rFonts w:ascii="宋体" w:eastAsia="宋体"/>
          <w:color w:val="auto"/>
          <w:sz w:val="24"/>
          <w:szCs w:val="24"/>
        </w:rPr>
        <w:tab/>
      </w:r>
      <w:r>
        <w:rPr>
          <w:rFonts w:ascii="宋体" w:eastAsia="宋体"/>
          <w:color w:val="auto"/>
          <w:sz w:val="24"/>
          <w:szCs w:val="24"/>
        </w:rPr>
        <w:fldChar w:fldCharType="begin"/>
      </w:r>
      <w:r>
        <w:rPr>
          <w:rFonts w:ascii="宋体" w:eastAsia="宋体"/>
          <w:color w:val="auto"/>
          <w:sz w:val="24"/>
          <w:szCs w:val="24"/>
        </w:rPr>
        <w:instrText xml:space="preserve"> PAGEREF _Toc129880037 \h </w:instrText>
      </w:r>
      <w:r>
        <w:rPr>
          <w:rFonts w:ascii="宋体" w:eastAsia="宋体"/>
          <w:color w:val="auto"/>
          <w:sz w:val="24"/>
          <w:szCs w:val="24"/>
        </w:rPr>
        <w:fldChar w:fldCharType="separate"/>
      </w:r>
      <w:r>
        <w:rPr>
          <w:rFonts w:ascii="宋体" w:eastAsia="宋体"/>
          <w:color w:val="auto"/>
          <w:sz w:val="24"/>
          <w:szCs w:val="24"/>
        </w:rPr>
        <w:t>39</w:t>
      </w:r>
      <w:r>
        <w:rPr>
          <w:rFonts w:ascii="宋体" w:eastAsia="宋体"/>
          <w:color w:val="auto"/>
          <w:sz w:val="24"/>
          <w:szCs w:val="24"/>
        </w:rPr>
        <w:fldChar w:fldCharType="end"/>
      </w:r>
      <w:r>
        <w:rPr>
          <w:rFonts w:ascii="宋体" w:eastAsia="宋体"/>
          <w:color w:val="auto"/>
          <w:sz w:val="24"/>
          <w:szCs w:val="24"/>
        </w:rPr>
        <w:fldChar w:fldCharType="end"/>
      </w:r>
    </w:p>
    <w:p w14:paraId="72CC45E2">
      <w:pPr>
        <w:pStyle w:val="27"/>
        <w:adjustRightInd w:val="0"/>
        <w:snapToGrid w:val="0"/>
        <w:spacing w:line="360" w:lineRule="auto"/>
        <w:rPr>
          <w:rFonts w:hint="eastAsia" w:ascii="宋体" w:eastAsia="宋体" w:cs="Times New Roman"/>
          <w:color w:val="auto"/>
          <w:sz w:val="24"/>
          <w:szCs w:val="24"/>
        </w:rPr>
      </w:pPr>
      <w:r>
        <w:fldChar w:fldCharType="begin"/>
      </w:r>
      <w:r>
        <w:instrText xml:space="preserve"> HYPERLINK \l "_Toc129880038" </w:instrText>
      </w:r>
      <w:r>
        <w:fldChar w:fldCharType="separate"/>
      </w:r>
      <w:r>
        <w:rPr>
          <w:rStyle w:val="45"/>
          <w:rFonts w:hint="eastAsia" w:ascii="宋体" w:eastAsia="宋体"/>
          <w:b/>
          <w:color w:val="auto"/>
          <w:sz w:val="24"/>
          <w:szCs w:val="24"/>
        </w:rPr>
        <w:t>第七部分</w:t>
      </w:r>
      <w:r>
        <w:rPr>
          <w:rStyle w:val="45"/>
          <w:rFonts w:ascii="宋体" w:eastAsia="宋体"/>
          <w:b/>
          <w:color w:val="auto"/>
          <w:sz w:val="24"/>
          <w:szCs w:val="24"/>
        </w:rPr>
        <w:t xml:space="preserve"> </w:t>
      </w:r>
      <w:r>
        <w:rPr>
          <w:rStyle w:val="45"/>
          <w:rFonts w:hint="eastAsia" w:ascii="宋体" w:eastAsia="宋体"/>
          <w:b/>
          <w:color w:val="auto"/>
          <w:sz w:val="24"/>
          <w:szCs w:val="24"/>
        </w:rPr>
        <w:t>资格审查和评标办法</w:t>
      </w:r>
      <w:r>
        <w:rPr>
          <w:rFonts w:ascii="宋体" w:eastAsia="宋体"/>
          <w:color w:val="auto"/>
          <w:sz w:val="24"/>
          <w:szCs w:val="24"/>
        </w:rPr>
        <w:tab/>
      </w:r>
      <w:r>
        <w:rPr>
          <w:rFonts w:ascii="宋体" w:eastAsia="宋体"/>
          <w:color w:val="auto"/>
          <w:sz w:val="24"/>
          <w:szCs w:val="24"/>
        </w:rPr>
        <w:fldChar w:fldCharType="begin"/>
      </w:r>
      <w:r>
        <w:rPr>
          <w:rFonts w:ascii="宋体" w:eastAsia="宋体"/>
          <w:color w:val="auto"/>
          <w:sz w:val="24"/>
          <w:szCs w:val="24"/>
        </w:rPr>
        <w:instrText xml:space="preserve"> PAGEREF _Toc129880038 \h </w:instrText>
      </w:r>
      <w:r>
        <w:rPr>
          <w:rFonts w:ascii="宋体" w:eastAsia="宋体"/>
          <w:color w:val="auto"/>
          <w:sz w:val="24"/>
          <w:szCs w:val="24"/>
        </w:rPr>
        <w:fldChar w:fldCharType="separate"/>
      </w:r>
      <w:r>
        <w:rPr>
          <w:rFonts w:ascii="宋体" w:eastAsia="宋体"/>
          <w:color w:val="auto"/>
          <w:sz w:val="24"/>
          <w:szCs w:val="24"/>
        </w:rPr>
        <w:t>77</w:t>
      </w:r>
      <w:r>
        <w:rPr>
          <w:rFonts w:ascii="宋体" w:eastAsia="宋体"/>
          <w:color w:val="auto"/>
          <w:sz w:val="24"/>
          <w:szCs w:val="24"/>
        </w:rPr>
        <w:fldChar w:fldCharType="end"/>
      </w:r>
      <w:r>
        <w:rPr>
          <w:rFonts w:ascii="宋体" w:eastAsia="宋体"/>
          <w:color w:val="auto"/>
          <w:sz w:val="24"/>
          <w:szCs w:val="24"/>
        </w:rPr>
        <w:fldChar w:fldCharType="end"/>
      </w:r>
    </w:p>
    <w:p w14:paraId="21A1E80A">
      <w:pPr>
        <w:pStyle w:val="27"/>
        <w:adjustRightInd w:val="0"/>
        <w:snapToGrid w:val="0"/>
        <w:spacing w:line="360" w:lineRule="auto"/>
        <w:rPr>
          <w:rFonts w:hint="eastAsia" w:ascii="宋体" w:eastAsia="宋体" w:cs="Times New Roman"/>
          <w:color w:val="auto"/>
          <w:sz w:val="24"/>
          <w:szCs w:val="24"/>
        </w:rPr>
      </w:pPr>
      <w:r>
        <w:fldChar w:fldCharType="begin"/>
      </w:r>
      <w:r>
        <w:instrText xml:space="preserve"> HYPERLINK \l "_Toc129880039" </w:instrText>
      </w:r>
      <w:r>
        <w:fldChar w:fldCharType="separate"/>
      </w:r>
      <w:r>
        <w:rPr>
          <w:rStyle w:val="45"/>
          <w:rFonts w:hint="eastAsia" w:ascii="宋体" w:eastAsia="宋体"/>
          <w:b/>
          <w:color w:val="auto"/>
          <w:sz w:val="24"/>
          <w:szCs w:val="24"/>
        </w:rPr>
        <w:t>第八部分</w:t>
      </w:r>
      <w:r>
        <w:rPr>
          <w:rStyle w:val="45"/>
          <w:rFonts w:ascii="宋体" w:eastAsia="宋体"/>
          <w:b/>
          <w:color w:val="auto"/>
          <w:sz w:val="24"/>
          <w:szCs w:val="24"/>
        </w:rPr>
        <w:t xml:space="preserve"> </w:t>
      </w:r>
      <w:r>
        <w:rPr>
          <w:rStyle w:val="45"/>
          <w:rFonts w:hint="eastAsia" w:ascii="宋体" w:eastAsia="宋体"/>
          <w:b/>
          <w:color w:val="auto"/>
          <w:sz w:val="24"/>
          <w:szCs w:val="24"/>
        </w:rPr>
        <w:t>采购</w:t>
      </w:r>
      <w:bookmarkStart w:id="0" w:name="_Hlt129880173"/>
      <w:bookmarkStart w:id="1" w:name="_Hlt129880174"/>
      <w:r>
        <w:rPr>
          <w:rStyle w:val="45"/>
          <w:rFonts w:hint="eastAsia" w:ascii="宋体" w:eastAsia="宋体"/>
          <w:b/>
          <w:color w:val="auto"/>
          <w:sz w:val="24"/>
          <w:szCs w:val="24"/>
        </w:rPr>
        <w:t>需</w:t>
      </w:r>
      <w:bookmarkEnd w:id="0"/>
      <w:bookmarkEnd w:id="1"/>
      <w:r>
        <w:rPr>
          <w:rStyle w:val="45"/>
          <w:rFonts w:hint="eastAsia" w:ascii="宋体" w:eastAsia="宋体"/>
          <w:b/>
          <w:color w:val="auto"/>
          <w:sz w:val="24"/>
          <w:szCs w:val="24"/>
        </w:rPr>
        <w:t>求</w:t>
      </w:r>
      <w:r>
        <w:rPr>
          <w:rFonts w:ascii="宋体" w:eastAsia="宋体"/>
          <w:color w:val="auto"/>
          <w:sz w:val="24"/>
          <w:szCs w:val="24"/>
        </w:rPr>
        <w:tab/>
      </w:r>
      <w:r>
        <w:rPr>
          <w:rFonts w:ascii="宋体" w:eastAsia="宋体"/>
          <w:color w:val="auto"/>
          <w:sz w:val="24"/>
          <w:szCs w:val="24"/>
        </w:rPr>
        <w:fldChar w:fldCharType="begin"/>
      </w:r>
      <w:r>
        <w:rPr>
          <w:rFonts w:ascii="宋体" w:eastAsia="宋体"/>
          <w:color w:val="auto"/>
          <w:sz w:val="24"/>
          <w:szCs w:val="24"/>
        </w:rPr>
        <w:instrText xml:space="preserve"> PAGEREF _Toc129880039 \h </w:instrText>
      </w:r>
      <w:r>
        <w:rPr>
          <w:rFonts w:ascii="宋体" w:eastAsia="宋体"/>
          <w:color w:val="auto"/>
          <w:sz w:val="24"/>
          <w:szCs w:val="24"/>
        </w:rPr>
        <w:fldChar w:fldCharType="separate"/>
      </w:r>
      <w:r>
        <w:rPr>
          <w:rFonts w:ascii="宋体" w:eastAsia="宋体"/>
          <w:color w:val="auto"/>
          <w:sz w:val="24"/>
          <w:szCs w:val="24"/>
        </w:rPr>
        <w:t>82</w:t>
      </w:r>
      <w:r>
        <w:rPr>
          <w:rFonts w:ascii="宋体" w:eastAsia="宋体"/>
          <w:color w:val="auto"/>
          <w:sz w:val="24"/>
          <w:szCs w:val="24"/>
        </w:rPr>
        <w:fldChar w:fldCharType="end"/>
      </w:r>
      <w:r>
        <w:rPr>
          <w:rFonts w:ascii="宋体" w:eastAsia="宋体"/>
          <w:color w:val="auto"/>
          <w:sz w:val="24"/>
          <w:szCs w:val="24"/>
        </w:rPr>
        <w:fldChar w:fldCharType="end"/>
      </w:r>
    </w:p>
    <w:p w14:paraId="030AB8D8">
      <w:pPr>
        <w:adjustRightInd w:val="0"/>
        <w:snapToGrid w:val="0"/>
        <w:spacing w:after="156" w:afterLines="50" w:line="360" w:lineRule="auto"/>
        <w:jc w:val="center"/>
        <w:outlineLvl w:val="0"/>
        <w:rPr>
          <w:rFonts w:ascii="黑体" w:eastAsia="黑体"/>
          <w:b/>
          <w:kern w:val="44"/>
          <w:sz w:val="48"/>
          <w:szCs w:val="20"/>
        </w:rPr>
      </w:pPr>
      <w:r>
        <w:rPr>
          <w:rFonts w:ascii="宋体" w:hAnsi="宋体"/>
          <w:b/>
          <w:sz w:val="24"/>
        </w:rPr>
        <w:fldChar w:fldCharType="end"/>
      </w:r>
      <w:r>
        <w:rPr>
          <w:rFonts w:ascii="宋体" w:hAnsi="宋体"/>
          <w:b/>
          <w:sz w:val="30"/>
          <w:szCs w:val="30"/>
        </w:rPr>
        <w:br w:type="page"/>
      </w:r>
      <w:bookmarkStart w:id="2" w:name="_Toc129880039"/>
      <w:bookmarkStart w:id="3" w:name="_Toc512937852"/>
      <w:bookmarkStart w:id="31" w:name="_GoBack"/>
      <w:bookmarkEnd w:id="31"/>
      <w:r>
        <w:rPr>
          <w:rFonts w:hint="eastAsia" w:ascii="宋体" w:hAnsi="宋体"/>
          <w:b/>
          <w:sz w:val="30"/>
          <w:szCs w:val="30"/>
        </w:rPr>
        <w:t>第八部分 采购需求</w:t>
      </w:r>
      <w:bookmarkEnd w:id="2"/>
    </w:p>
    <w:bookmarkEnd w:id="3"/>
    <w:p w14:paraId="4D61EA3E">
      <w:pPr>
        <w:adjustRightInd w:val="0"/>
        <w:snapToGrid w:val="0"/>
        <w:spacing w:before="156" w:beforeLines="50" w:after="156" w:afterLines="50" w:line="360" w:lineRule="auto"/>
        <w:jc w:val="center"/>
        <w:rPr>
          <w:rFonts w:hint="eastAsia" w:ascii="宋体" w:hAnsi="宋体"/>
          <w:b/>
          <w:sz w:val="24"/>
        </w:rPr>
      </w:pPr>
      <w:r>
        <w:rPr>
          <w:rFonts w:hint="eastAsia" w:ascii="宋体" w:hAnsi="宋体"/>
          <w:b/>
          <w:sz w:val="24"/>
        </w:rPr>
        <w:t>货物需求一览表</w:t>
      </w:r>
    </w:p>
    <w:p w14:paraId="40643A12">
      <w:pPr>
        <w:adjustRightInd w:val="0"/>
        <w:snapToGrid w:val="0"/>
        <w:jc w:val="center"/>
        <w:rPr>
          <w:rFonts w:hint="eastAsia" w:ascii="宋体" w:hAnsi="宋体"/>
          <w:b/>
          <w:sz w:val="30"/>
          <w:szCs w:val="30"/>
        </w:rPr>
      </w:pPr>
    </w:p>
    <w:tbl>
      <w:tblPr>
        <w:tblStyle w:val="38"/>
        <w:tblW w:w="75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40"/>
        <w:gridCol w:w="2357"/>
        <w:gridCol w:w="1329"/>
        <w:gridCol w:w="2470"/>
      </w:tblGrid>
      <w:tr w14:paraId="0A66C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1440" w:type="dxa"/>
            <w:vAlign w:val="center"/>
          </w:tcPr>
          <w:p w14:paraId="6014A472">
            <w:pPr>
              <w:jc w:val="center"/>
              <w:rPr>
                <w:rFonts w:ascii="宋体" w:hAnsi="Bookman Old Style"/>
                <w:sz w:val="24"/>
              </w:rPr>
            </w:pPr>
            <w:r>
              <w:rPr>
                <w:rFonts w:hint="eastAsia" w:ascii="宋体" w:hAnsi="Bookman Old Style"/>
                <w:sz w:val="24"/>
              </w:rPr>
              <w:t>包号</w:t>
            </w:r>
          </w:p>
        </w:tc>
        <w:tc>
          <w:tcPr>
            <w:tcW w:w="2357" w:type="dxa"/>
            <w:vAlign w:val="center"/>
          </w:tcPr>
          <w:p w14:paraId="12F59670">
            <w:pPr>
              <w:jc w:val="center"/>
              <w:rPr>
                <w:rFonts w:ascii="宋体" w:hAnsi="Bookman Old Style"/>
                <w:sz w:val="24"/>
              </w:rPr>
            </w:pPr>
            <w:r>
              <w:rPr>
                <w:rFonts w:hint="eastAsia" w:ascii="宋体" w:hAnsi="Bookman Old Style"/>
                <w:sz w:val="24"/>
              </w:rPr>
              <w:t>货物名称</w:t>
            </w:r>
          </w:p>
        </w:tc>
        <w:tc>
          <w:tcPr>
            <w:tcW w:w="1329" w:type="dxa"/>
            <w:vAlign w:val="center"/>
          </w:tcPr>
          <w:p w14:paraId="7299052D">
            <w:pPr>
              <w:jc w:val="center"/>
              <w:rPr>
                <w:rFonts w:ascii="宋体" w:hAnsi="Bookman Old Style"/>
                <w:sz w:val="24"/>
              </w:rPr>
            </w:pPr>
            <w:r>
              <w:rPr>
                <w:rFonts w:hint="eastAsia" w:ascii="宋体" w:hAnsi="Bookman Old Style"/>
                <w:sz w:val="24"/>
              </w:rPr>
              <w:t>数量</w:t>
            </w:r>
          </w:p>
        </w:tc>
        <w:tc>
          <w:tcPr>
            <w:tcW w:w="2470" w:type="dxa"/>
            <w:vAlign w:val="center"/>
          </w:tcPr>
          <w:p w14:paraId="73687BEA">
            <w:pPr>
              <w:jc w:val="center"/>
              <w:rPr>
                <w:rFonts w:ascii="宋体" w:hAnsi="Bookman Old Style"/>
                <w:sz w:val="24"/>
              </w:rPr>
            </w:pPr>
            <w:r>
              <w:rPr>
                <w:rFonts w:hint="eastAsia" w:ascii="宋体" w:hAnsi="Bookman Old Style"/>
                <w:sz w:val="24"/>
              </w:rPr>
              <w:t>是否接受进口</w:t>
            </w:r>
          </w:p>
        </w:tc>
      </w:tr>
      <w:tr w14:paraId="2DB70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1440" w:type="dxa"/>
            <w:vAlign w:val="center"/>
          </w:tcPr>
          <w:p w14:paraId="240DDC2D">
            <w:pPr>
              <w:jc w:val="center"/>
              <w:rPr>
                <w:rFonts w:ascii="宋体"/>
                <w:sz w:val="24"/>
              </w:rPr>
            </w:pPr>
            <w:r>
              <w:rPr>
                <w:rFonts w:hint="eastAsia" w:ascii="宋体"/>
                <w:sz w:val="24"/>
              </w:rPr>
              <w:t>1</w:t>
            </w:r>
          </w:p>
        </w:tc>
        <w:tc>
          <w:tcPr>
            <w:tcW w:w="2357" w:type="dxa"/>
            <w:vAlign w:val="center"/>
          </w:tcPr>
          <w:p w14:paraId="42C465FE">
            <w:pPr>
              <w:jc w:val="center"/>
              <w:rPr>
                <w:rFonts w:ascii="Bookman Old Style" w:hAnsi="Bookman Old Style"/>
                <w:sz w:val="24"/>
              </w:rPr>
            </w:pPr>
            <w:r>
              <w:rPr>
                <w:rFonts w:hint="eastAsia" w:ascii="Bookman Old Style" w:hAnsi="Bookman Old Style"/>
                <w:sz w:val="24"/>
              </w:rPr>
              <w:t>飞秒激光精密微纳加工系统</w:t>
            </w:r>
          </w:p>
        </w:tc>
        <w:tc>
          <w:tcPr>
            <w:tcW w:w="1329" w:type="dxa"/>
            <w:vAlign w:val="center"/>
          </w:tcPr>
          <w:p w14:paraId="03898B3B">
            <w:pPr>
              <w:jc w:val="center"/>
              <w:rPr>
                <w:rFonts w:ascii="宋体" w:hAnsi="Bookman Old Style"/>
                <w:sz w:val="24"/>
              </w:rPr>
            </w:pPr>
            <w:r>
              <w:rPr>
                <w:rFonts w:hint="eastAsia" w:ascii="宋体" w:hAnsi="Bookman Old Style"/>
                <w:sz w:val="24"/>
              </w:rPr>
              <w:t>1套</w:t>
            </w:r>
          </w:p>
        </w:tc>
        <w:tc>
          <w:tcPr>
            <w:tcW w:w="2470" w:type="dxa"/>
            <w:vAlign w:val="center"/>
          </w:tcPr>
          <w:p w14:paraId="4EAF14A0">
            <w:pPr>
              <w:jc w:val="center"/>
              <w:rPr>
                <w:rFonts w:ascii="宋体" w:hAnsi="Bookman Old Style"/>
                <w:sz w:val="24"/>
              </w:rPr>
            </w:pPr>
            <w:r>
              <w:rPr>
                <w:rFonts w:hint="eastAsia" w:ascii="宋体" w:hAnsi="Bookman Old Style"/>
                <w:sz w:val="24"/>
              </w:rPr>
              <w:t>否</w:t>
            </w:r>
          </w:p>
        </w:tc>
      </w:tr>
    </w:tbl>
    <w:p w14:paraId="62C0802E">
      <w:pPr>
        <w:adjustRightInd w:val="0"/>
        <w:snapToGrid w:val="0"/>
        <w:jc w:val="center"/>
        <w:rPr>
          <w:rFonts w:hint="eastAsia" w:ascii="宋体" w:hAnsi="宋体"/>
          <w:b/>
          <w:sz w:val="30"/>
          <w:szCs w:val="30"/>
        </w:rPr>
      </w:pPr>
    </w:p>
    <w:p w14:paraId="0E024226">
      <w:pPr>
        <w:adjustRightInd w:val="0"/>
        <w:snapToGrid w:val="0"/>
        <w:jc w:val="center"/>
        <w:rPr>
          <w:rFonts w:hint="eastAsia" w:ascii="宋体" w:hAnsi="宋体"/>
          <w:b/>
          <w:sz w:val="30"/>
          <w:szCs w:val="30"/>
        </w:rPr>
      </w:pPr>
    </w:p>
    <w:p w14:paraId="07B072B1">
      <w:pPr>
        <w:rPr>
          <w:rFonts w:ascii="Bookman Old Style" w:hAnsi="Bookman Old Style"/>
          <w:sz w:val="24"/>
        </w:rPr>
      </w:pPr>
      <w:r>
        <w:rPr>
          <w:rFonts w:hint="eastAsia"/>
          <w:sz w:val="24"/>
        </w:rPr>
        <w:t>注：投标人须对上述投标内容中完整的一包或几包进行投标，</w:t>
      </w:r>
      <w:r>
        <w:rPr>
          <w:rFonts w:hint="eastAsia" w:ascii="Bookman Old Style" w:hAnsi="Bookman Old Style"/>
          <w:sz w:val="24"/>
        </w:rPr>
        <w:t>不完整的投标将视为非响应性投标予以拒绝。</w:t>
      </w:r>
    </w:p>
    <w:p w14:paraId="172C9D56">
      <w:pPr>
        <w:adjustRightInd w:val="0"/>
        <w:snapToGrid w:val="0"/>
        <w:rPr>
          <w:rFonts w:hint="eastAsia" w:ascii="宋体" w:hAnsi="宋体"/>
          <w:szCs w:val="21"/>
        </w:rPr>
      </w:pPr>
    </w:p>
    <w:p w14:paraId="259CA617">
      <w:pPr>
        <w:adjustRightInd w:val="0"/>
        <w:snapToGrid w:val="0"/>
        <w:rPr>
          <w:rFonts w:hint="eastAsia" w:ascii="宋体" w:hAnsi="宋体"/>
          <w:szCs w:val="21"/>
        </w:rPr>
      </w:pPr>
    </w:p>
    <w:p w14:paraId="059C7C87">
      <w:pPr>
        <w:adjustRightInd w:val="0"/>
        <w:snapToGrid w:val="0"/>
        <w:rPr>
          <w:rFonts w:hint="eastAsia" w:ascii="宋体" w:hAnsi="宋体"/>
          <w:szCs w:val="21"/>
        </w:rPr>
      </w:pPr>
    </w:p>
    <w:p w14:paraId="5F61F50C">
      <w:pPr>
        <w:adjustRightInd w:val="0"/>
        <w:snapToGrid w:val="0"/>
        <w:spacing w:line="360" w:lineRule="auto"/>
        <w:rPr>
          <w:rFonts w:hint="eastAsia" w:ascii="宋体" w:hAnsi="宋体"/>
          <w:b/>
          <w:sz w:val="28"/>
          <w:szCs w:val="28"/>
        </w:rPr>
      </w:pPr>
      <w:r>
        <w:rPr>
          <w:rFonts w:ascii="宋体" w:hAnsi="宋体"/>
          <w:b/>
          <w:sz w:val="30"/>
          <w:szCs w:val="30"/>
        </w:rPr>
        <w:br w:type="page"/>
      </w:r>
      <w:r>
        <w:rPr>
          <w:rFonts w:hint="eastAsia" w:ascii="宋体" w:hAnsi="宋体"/>
          <w:b/>
          <w:sz w:val="28"/>
          <w:szCs w:val="28"/>
        </w:rPr>
        <w:t>一、总则</w:t>
      </w:r>
    </w:p>
    <w:p w14:paraId="4C02BB6E">
      <w:pPr>
        <w:adjustRightInd w:val="0"/>
        <w:snapToGrid w:val="0"/>
        <w:spacing w:line="360" w:lineRule="auto"/>
        <w:rPr>
          <w:rFonts w:hint="eastAsia" w:ascii="宋体" w:hAnsi="宋体"/>
          <w:b/>
          <w:sz w:val="28"/>
          <w:szCs w:val="28"/>
        </w:rPr>
      </w:pPr>
      <w:r>
        <w:rPr>
          <w:rFonts w:ascii="宋体" w:hAnsi="宋体"/>
          <w:b/>
          <w:sz w:val="28"/>
          <w:szCs w:val="28"/>
        </w:rPr>
        <w:t>1</w:t>
      </w:r>
      <w:r>
        <w:rPr>
          <w:rFonts w:hint="eastAsia" w:ascii="宋体" w:hAnsi="宋体"/>
          <w:b/>
          <w:sz w:val="28"/>
          <w:szCs w:val="28"/>
        </w:rPr>
        <w:t>、投标要求</w:t>
      </w:r>
    </w:p>
    <w:p w14:paraId="1FDD3E49">
      <w:pPr>
        <w:spacing w:line="360" w:lineRule="auto"/>
        <w:ind w:left="554" w:hanging="554" w:hangingChars="231"/>
        <w:rPr>
          <w:rFonts w:hint="eastAsia" w:ascii="宋体" w:hAnsi="宋体"/>
          <w:sz w:val="24"/>
        </w:rPr>
      </w:pPr>
      <w:r>
        <w:rPr>
          <w:rFonts w:ascii="宋体" w:hAnsi="宋体"/>
          <w:sz w:val="24"/>
        </w:rPr>
        <w:t xml:space="preserve">1.1 </w:t>
      </w:r>
      <w:r>
        <w:rPr>
          <w:rFonts w:hint="eastAsia" w:ascii="宋体" w:hAnsi="宋体"/>
          <w:sz w:val="24"/>
        </w:rPr>
        <w:t xml:space="preserve"> 投标人在准备投标书时，务必在所提供的商品的技术规格文件中，标明型号、商标名称、目录号。</w:t>
      </w:r>
    </w:p>
    <w:p w14:paraId="05AB2966">
      <w:pPr>
        <w:spacing w:line="360" w:lineRule="auto"/>
        <w:ind w:left="554" w:hanging="554" w:hangingChars="231"/>
        <w:rPr>
          <w:rFonts w:hint="eastAsia" w:ascii="宋体" w:hAnsi="宋体"/>
          <w:sz w:val="24"/>
        </w:rPr>
      </w:pPr>
      <w:r>
        <w:rPr>
          <w:rFonts w:hint="eastAsia" w:ascii="宋体" w:hAnsi="宋体"/>
          <w:sz w:val="24"/>
        </w:rPr>
        <w:t>1.2  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125FEE59">
      <w:pPr>
        <w:spacing w:line="360" w:lineRule="auto"/>
        <w:ind w:left="554" w:hanging="554" w:hangingChars="231"/>
        <w:rPr>
          <w:rFonts w:ascii="宋体"/>
          <w:sz w:val="24"/>
        </w:rPr>
      </w:pPr>
      <w:r>
        <w:rPr>
          <w:rFonts w:hint="eastAsia" w:ascii="宋体" w:hAnsi="宋体"/>
          <w:sz w:val="24"/>
        </w:rPr>
        <w:t xml:space="preserve">1.3  </w:t>
      </w:r>
      <w:r>
        <w:rPr>
          <w:rFonts w:hint="eastAsia"/>
          <w:sz w:val="24"/>
        </w:rPr>
        <w:t>投标人提供的</w:t>
      </w:r>
      <w:r>
        <w:rPr>
          <w:rFonts w:hint="eastAsia" w:ascii="宋体"/>
          <w:sz w:val="24"/>
        </w:rPr>
        <w:t>产品</w:t>
      </w:r>
      <w:r>
        <w:rPr>
          <w:rFonts w:hint="eastAsia"/>
          <w:sz w:val="24"/>
        </w:rPr>
        <w:t>样本，必须是“原件”而非复印件，</w:t>
      </w:r>
      <w:r>
        <w:rPr>
          <w:rFonts w:hint="eastAsia" w:ascii="宋体"/>
          <w:sz w:val="24"/>
        </w:rPr>
        <w:t>图表、简图、电路图以及印刷电路板图等都应</w:t>
      </w:r>
      <w:r>
        <w:rPr>
          <w:rFonts w:hint="eastAsia"/>
          <w:sz w:val="24"/>
        </w:rPr>
        <w:t>清晰易读。买方有权</w:t>
      </w:r>
      <w:r>
        <w:rPr>
          <w:rFonts w:hint="eastAsia" w:ascii="宋体"/>
          <w:sz w:val="24"/>
        </w:rPr>
        <w:t>不付任何附加费用</w:t>
      </w:r>
      <w:r>
        <w:rPr>
          <w:rFonts w:hint="eastAsia"/>
          <w:sz w:val="24"/>
        </w:rPr>
        <w:t>复制这些资料</w:t>
      </w:r>
      <w:r>
        <w:rPr>
          <w:rFonts w:hint="eastAsia" w:ascii="宋体"/>
          <w:sz w:val="24"/>
        </w:rPr>
        <w:t>以供参考。</w:t>
      </w:r>
    </w:p>
    <w:p w14:paraId="054779F8">
      <w:pPr>
        <w:spacing w:line="360" w:lineRule="auto"/>
        <w:ind w:left="554" w:hanging="554" w:hangingChars="231"/>
        <w:rPr>
          <w:rFonts w:ascii="宋体"/>
          <w:sz w:val="24"/>
        </w:rPr>
      </w:pPr>
      <w:r>
        <w:rPr>
          <w:rFonts w:hint="eastAsia" w:ascii="宋体"/>
          <w:sz w:val="24"/>
        </w:rPr>
        <w:t>1.4  投标人的投标产品应符合国家有关部门规定的相应技术、计量、节能、安全和环保法规及标准；如国家有关部门对投标人的投标产品有强制性规定或要求的，则投标人的投标产品必须符合相应规定或要求，投标人须提供相关证明文件的复印件。</w:t>
      </w:r>
    </w:p>
    <w:p w14:paraId="221EC3F6">
      <w:pPr>
        <w:adjustRightInd w:val="0"/>
        <w:snapToGrid w:val="0"/>
        <w:spacing w:line="360" w:lineRule="auto"/>
        <w:rPr>
          <w:rFonts w:hint="eastAsia" w:ascii="宋体" w:hAnsi="宋体"/>
          <w:b/>
          <w:sz w:val="28"/>
          <w:szCs w:val="28"/>
        </w:rPr>
      </w:pPr>
      <w:r>
        <w:rPr>
          <w:rFonts w:hint="eastAsia" w:ascii="宋体" w:hAnsi="宋体"/>
          <w:b/>
          <w:sz w:val="28"/>
          <w:szCs w:val="28"/>
        </w:rPr>
        <w:t>2、评标标准</w:t>
      </w:r>
    </w:p>
    <w:p w14:paraId="115075EF">
      <w:pPr>
        <w:spacing w:line="360" w:lineRule="auto"/>
        <w:ind w:left="554" w:hanging="554" w:hangingChars="231"/>
        <w:rPr>
          <w:rFonts w:ascii="宋体"/>
          <w:sz w:val="24"/>
        </w:rPr>
      </w:pPr>
      <w:r>
        <w:rPr>
          <w:rFonts w:ascii="宋体" w:hAnsi="宋体"/>
          <w:sz w:val="24"/>
        </w:rPr>
        <w:t>2.</w:t>
      </w:r>
      <w:r>
        <w:rPr>
          <w:rFonts w:hint="eastAsia" w:ascii="宋体" w:hAnsi="宋体"/>
          <w:sz w:val="24"/>
        </w:rPr>
        <w:t xml:space="preserve">1  </w:t>
      </w:r>
      <w:r>
        <w:rPr>
          <w:rFonts w:hint="eastAsia"/>
          <w:sz w:val="24"/>
        </w:rPr>
        <w:t>除招标文件中指定的附件和专用工具外，</w:t>
      </w:r>
      <w:r>
        <w:rPr>
          <w:rFonts w:hint="eastAsia" w:ascii="宋体"/>
          <w:sz w:val="24"/>
        </w:rPr>
        <w:t>投标人应提供仪器设备的正常运行和常规保养所需的全套标准附件、专用工具</w:t>
      </w:r>
      <w:r>
        <w:rPr>
          <w:rFonts w:hint="eastAsia"/>
          <w:sz w:val="24"/>
        </w:rPr>
        <w:t>和消耗品</w:t>
      </w:r>
      <w:r>
        <w:rPr>
          <w:rFonts w:hint="eastAsia" w:ascii="宋体"/>
          <w:sz w:val="24"/>
        </w:rPr>
        <w:t>。投标人在投标书中需列出这些附件和工具的数量和单价的清单，这些附件和工具的报价的总值需计入投标价中。</w:t>
      </w:r>
    </w:p>
    <w:p w14:paraId="56C902D4">
      <w:pPr>
        <w:spacing w:line="360" w:lineRule="auto"/>
        <w:ind w:left="554" w:hanging="554" w:hangingChars="231"/>
        <w:rPr>
          <w:sz w:val="24"/>
        </w:rPr>
      </w:pPr>
      <w:r>
        <w:rPr>
          <w:rFonts w:hint="eastAsia" w:ascii="宋体" w:hAnsi="宋体"/>
          <w:sz w:val="24"/>
        </w:rPr>
        <w:t xml:space="preserve">2.2  </w:t>
      </w:r>
      <w:r>
        <w:rPr>
          <w:rFonts w:hint="eastAsia"/>
          <w:sz w:val="24"/>
        </w:rPr>
        <w:t>对于标书</w:t>
      </w:r>
      <w:r>
        <w:rPr>
          <w:rFonts w:hint="eastAsia" w:ascii="宋体"/>
          <w:sz w:val="24"/>
        </w:rPr>
        <w:t>技术规范中已列</w:t>
      </w:r>
      <w:r>
        <w:rPr>
          <w:rFonts w:hint="eastAsia"/>
          <w:sz w:val="24"/>
        </w:rPr>
        <w:t>出的作为查询选件的附件、零配件、专用工具和消耗品，投标书中</w:t>
      </w:r>
      <w:r>
        <w:rPr>
          <w:rFonts w:hint="eastAsia" w:ascii="宋体"/>
          <w:sz w:val="24"/>
        </w:rPr>
        <w:t>应列明其数量、单价、总价供买方参考。投标人也可推荐买方没有要求的附件或专用工具作为选件，并列明其数量、单价、总价供买方参考。选件价格不计入评标价中。</w:t>
      </w:r>
    </w:p>
    <w:p w14:paraId="787E50E9">
      <w:pPr>
        <w:spacing w:line="360" w:lineRule="auto"/>
        <w:ind w:left="554" w:hanging="554" w:hangingChars="231"/>
        <w:rPr>
          <w:rFonts w:hint="eastAsia" w:ascii="宋体" w:hAnsi="宋体"/>
          <w:sz w:val="24"/>
        </w:rPr>
      </w:pPr>
      <w:r>
        <w:rPr>
          <w:rFonts w:hint="eastAsia" w:ascii="宋体" w:hAnsi="宋体"/>
          <w:sz w:val="24"/>
        </w:rPr>
        <w:t>2.3  为便于用户进行接收仪器的准备工作，卖方应在合同生效后</w:t>
      </w:r>
      <w:r>
        <w:rPr>
          <w:rFonts w:hint="eastAsia" w:ascii="宋体" w:hAnsi="宋体"/>
          <w:b/>
          <w:sz w:val="24"/>
        </w:rPr>
        <w:t>60</w:t>
      </w:r>
      <w:r>
        <w:rPr>
          <w:rFonts w:hint="eastAsia" w:ascii="宋体" w:hAnsi="宋体"/>
          <w:sz w:val="24"/>
        </w:rPr>
        <w:t>天内向用户提供一套完整的使用说明书、操作手册、维修及安装说明等文件。另一套完整上述资料应在交货时随货包装提供给用户，这些费用应计入投标价中。</w:t>
      </w:r>
    </w:p>
    <w:p w14:paraId="20F2E8F1">
      <w:pPr>
        <w:spacing w:line="360" w:lineRule="auto"/>
        <w:ind w:left="554" w:hanging="554" w:hangingChars="231"/>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 xml:space="preserve"> 关于设备的安装调试，如果有必要的安装准备条件，卖方应在合同生效后一个月内向买方提出详细的要求或计划。安装调试的费用应计入投标价中，并应单独列出，供评标使用。</w:t>
      </w:r>
    </w:p>
    <w:p w14:paraId="21DF276A">
      <w:pPr>
        <w:spacing w:line="360" w:lineRule="auto"/>
        <w:ind w:left="554" w:hanging="554" w:hangingChars="231"/>
        <w:rPr>
          <w:rFonts w:hint="eastAsia" w:ascii="宋体" w:hAnsi="宋体"/>
          <w:sz w:val="24"/>
        </w:rPr>
      </w:pPr>
      <w:r>
        <w:rPr>
          <w:rFonts w:ascii="宋体" w:hAnsi="宋体"/>
          <w:sz w:val="24"/>
        </w:rPr>
        <w:t>2.</w:t>
      </w:r>
      <w:r>
        <w:rPr>
          <w:rFonts w:hint="eastAsia" w:ascii="宋体" w:hAnsi="宋体"/>
          <w:sz w:val="24"/>
        </w:rPr>
        <w:t>5  制造厂家提供的培训指的是涉及货物的基本原理、操作使用和保养维修等有关内容的培训。培训教员的培训费、旅费、食宿费等费用和培训场地费及培训资料费均应由卖方支付。</w:t>
      </w:r>
    </w:p>
    <w:p w14:paraId="08F7DA63">
      <w:pPr>
        <w:adjustRightInd w:val="0"/>
        <w:snapToGrid w:val="0"/>
        <w:spacing w:line="360" w:lineRule="auto"/>
        <w:rPr>
          <w:rFonts w:hint="eastAsia" w:ascii="宋体" w:hAnsi="宋体"/>
          <w:b/>
          <w:sz w:val="28"/>
          <w:szCs w:val="28"/>
        </w:rPr>
      </w:pPr>
      <w:r>
        <w:rPr>
          <w:rFonts w:hint="eastAsia" w:ascii="宋体" w:hAnsi="宋体"/>
          <w:b/>
          <w:sz w:val="28"/>
          <w:szCs w:val="28"/>
        </w:rPr>
        <w:t>3、工作条件</w:t>
      </w:r>
    </w:p>
    <w:p w14:paraId="2781C961">
      <w:pPr>
        <w:spacing w:after="312" w:afterLines="100" w:line="360" w:lineRule="auto"/>
        <w:rPr>
          <w:rFonts w:hint="eastAsia" w:ascii="宋体" w:hAnsi="宋体"/>
          <w:sz w:val="24"/>
        </w:rPr>
      </w:pPr>
      <w:r>
        <w:rPr>
          <w:rFonts w:hint="eastAsia" w:ascii="宋体" w:hAnsi="宋体"/>
          <w:sz w:val="24"/>
        </w:rPr>
        <w:t>除非在技术规格中另有说明，所有仪器、设备和系统都应符合下列要求：</w:t>
      </w:r>
      <w:r>
        <w:rPr>
          <w:rFonts w:ascii="宋体" w:hAnsi="宋体"/>
          <w:sz w:val="24"/>
        </w:rPr>
        <w:t xml:space="preserve"> </w:t>
      </w:r>
    </w:p>
    <w:p w14:paraId="391757AB">
      <w:pPr>
        <w:spacing w:line="360" w:lineRule="auto"/>
        <w:ind w:left="554" w:hanging="554" w:hangingChars="231"/>
        <w:rPr>
          <w:rFonts w:hint="eastAsia" w:ascii="宋体" w:hAnsi="宋体"/>
          <w:sz w:val="24"/>
        </w:rPr>
      </w:pPr>
      <w:r>
        <w:rPr>
          <w:rFonts w:hint="eastAsia" w:ascii="宋体" w:hAnsi="宋体"/>
          <w:sz w:val="24"/>
        </w:rPr>
        <w:t>3.1  适于在气温为摄氏</w:t>
      </w:r>
      <w:r>
        <w:rPr>
          <w:rFonts w:ascii="宋体" w:hAnsi="宋体"/>
          <w:b/>
          <w:sz w:val="24"/>
        </w:rPr>
        <w:t>-40</w:t>
      </w:r>
      <w:r>
        <w:rPr>
          <w:rFonts w:hint="eastAsia" w:ascii="宋体" w:hAnsi="宋体"/>
          <w:b/>
          <w:sz w:val="24"/>
        </w:rPr>
        <w:t>℃～＋</w:t>
      </w:r>
      <w:r>
        <w:rPr>
          <w:rFonts w:ascii="宋体" w:hAnsi="宋体"/>
          <w:b/>
          <w:sz w:val="24"/>
        </w:rPr>
        <w:t>50</w:t>
      </w:r>
      <w:r>
        <w:rPr>
          <w:rFonts w:hint="eastAsia" w:ascii="宋体" w:hAnsi="宋体"/>
          <w:b/>
          <w:sz w:val="24"/>
        </w:rPr>
        <w:t>℃</w:t>
      </w:r>
      <w:r>
        <w:rPr>
          <w:rFonts w:hint="eastAsia" w:ascii="宋体" w:hAnsi="宋体"/>
          <w:sz w:val="24"/>
        </w:rPr>
        <w:t>和相对湿度为</w:t>
      </w:r>
      <w:r>
        <w:rPr>
          <w:rFonts w:ascii="宋体" w:hAnsi="宋体"/>
          <w:b/>
          <w:sz w:val="24"/>
        </w:rPr>
        <w:t>90</w:t>
      </w:r>
      <w:r>
        <w:rPr>
          <w:rFonts w:hint="eastAsia" w:ascii="宋体" w:hAnsi="宋体"/>
          <w:b/>
          <w:sz w:val="24"/>
        </w:rPr>
        <w:t>％</w:t>
      </w:r>
      <w:r>
        <w:rPr>
          <w:rFonts w:hint="eastAsia" w:ascii="宋体" w:hAnsi="宋体"/>
          <w:sz w:val="24"/>
        </w:rPr>
        <w:t>的环境条件下运输和贮存。</w:t>
      </w:r>
    </w:p>
    <w:p w14:paraId="4F8B1542">
      <w:pPr>
        <w:spacing w:line="360" w:lineRule="auto"/>
        <w:ind w:left="554" w:hanging="554" w:hangingChars="231"/>
        <w:rPr>
          <w:rFonts w:hint="eastAsia" w:ascii="宋体" w:hAnsi="宋体"/>
          <w:sz w:val="24"/>
        </w:rPr>
      </w:pPr>
      <w:r>
        <w:rPr>
          <w:rFonts w:hint="eastAsia" w:ascii="宋体" w:hAnsi="宋体"/>
          <w:sz w:val="24"/>
        </w:rPr>
        <w:t>3.2  适于在电源</w:t>
      </w:r>
      <w:r>
        <w:rPr>
          <w:rFonts w:ascii="宋体" w:hAnsi="宋体"/>
          <w:b/>
          <w:sz w:val="24"/>
        </w:rPr>
        <w:t>220V</w:t>
      </w:r>
      <w:r>
        <w:rPr>
          <w:rFonts w:hint="eastAsia" w:ascii="宋体" w:hAnsi="宋体"/>
          <w:b/>
          <w:sz w:val="24"/>
        </w:rPr>
        <w:t>（</w:t>
      </w:r>
      <w:r>
        <w:rPr>
          <w:rFonts w:ascii="宋体" w:hAnsi="宋体"/>
          <w:b/>
          <w:sz w:val="24"/>
        </w:rPr>
        <w:sym w:font="Symbol" w:char="F0B1"/>
      </w:r>
      <w:r>
        <w:rPr>
          <w:rFonts w:ascii="宋体" w:hAnsi="宋体"/>
          <w:b/>
          <w:sz w:val="24"/>
        </w:rPr>
        <w:t>10</w:t>
      </w:r>
      <w:r>
        <w:rPr>
          <w:rFonts w:hint="eastAsia" w:ascii="宋体" w:hAnsi="宋体"/>
          <w:b/>
          <w:sz w:val="24"/>
        </w:rPr>
        <w:t>％）</w:t>
      </w:r>
      <w:r>
        <w:rPr>
          <w:rFonts w:ascii="宋体" w:hAnsi="宋体"/>
          <w:b/>
          <w:sz w:val="24"/>
        </w:rPr>
        <w:t>/50Hz</w:t>
      </w:r>
      <w:r>
        <w:rPr>
          <w:rFonts w:hint="eastAsia" w:ascii="宋体" w:hAnsi="宋体"/>
          <w:sz w:val="24"/>
        </w:rPr>
        <w:t>、气温摄氏</w:t>
      </w:r>
      <w:r>
        <w:rPr>
          <w:rFonts w:hint="eastAsia" w:ascii="宋体" w:hAnsi="宋体"/>
          <w:b/>
          <w:sz w:val="24"/>
        </w:rPr>
        <w:t>+1</w:t>
      </w:r>
      <w:r>
        <w:rPr>
          <w:rFonts w:ascii="宋体" w:hAnsi="宋体"/>
          <w:b/>
          <w:sz w:val="24"/>
        </w:rPr>
        <w:t>5</w:t>
      </w:r>
      <w:r>
        <w:rPr>
          <w:rFonts w:hint="eastAsia" w:ascii="宋体" w:hAnsi="宋体"/>
          <w:b/>
          <w:sz w:val="24"/>
        </w:rPr>
        <w:t>℃～＋3</w:t>
      </w:r>
      <w:r>
        <w:rPr>
          <w:rFonts w:ascii="宋体" w:hAnsi="宋体"/>
          <w:b/>
          <w:sz w:val="24"/>
        </w:rPr>
        <w:t>0</w:t>
      </w:r>
      <w:r>
        <w:rPr>
          <w:rFonts w:hint="eastAsia" w:ascii="宋体" w:hAnsi="宋体"/>
          <w:b/>
          <w:sz w:val="24"/>
        </w:rPr>
        <w:t>℃</w:t>
      </w:r>
      <w:r>
        <w:rPr>
          <w:rFonts w:hint="eastAsia" w:ascii="宋体" w:hAnsi="宋体"/>
          <w:sz w:val="24"/>
        </w:rPr>
        <w:t>和相对湿度小于</w:t>
      </w:r>
      <w:r>
        <w:rPr>
          <w:rFonts w:ascii="宋体" w:hAnsi="宋体"/>
          <w:b/>
          <w:sz w:val="24"/>
        </w:rPr>
        <w:t>8</w:t>
      </w:r>
      <w:r>
        <w:rPr>
          <w:rFonts w:hint="eastAsia" w:ascii="宋体" w:hAnsi="宋体"/>
          <w:b/>
          <w:sz w:val="24"/>
        </w:rPr>
        <w:t>0％</w:t>
      </w:r>
      <w:r>
        <w:rPr>
          <w:rFonts w:hint="eastAsia" w:ascii="宋体" w:hAnsi="宋体"/>
          <w:sz w:val="24"/>
        </w:rPr>
        <w:t>的环境条件下运行。</w:t>
      </w:r>
      <w:r>
        <w:rPr>
          <w:rFonts w:hint="eastAsia" w:ascii="宋体" w:hAnsi="宋体"/>
          <w:b/>
          <w:sz w:val="24"/>
        </w:rPr>
        <w:t>能够连续正常工作。</w:t>
      </w:r>
    </w:p>
    <w:p w14:paraId="25BB7286">
      <w:pPr>
        <w:spacing w:line="360" w:lineRule="auto"/>
        <w:ind w:left="554" w:hanging="554" w:hangingChars="231"/>
        <w:rPr>
          <w:rFonts w:hint="eastAsia" w:ascii="宋体" w:hAnsi="宋体"/>
          <w:sz w:val="24"/>
        </w:rPr>
      </w:pPr>
      <w:r>
        <w:rPr>
          <w:rFonts w:hint="eastAsia" w:ascii="宋体" w:hAnsi="宋体"/>
          <w:sz w:val="24"/>
        </w:rPr>
        <w:t>3.3  配置符合中国有关标准要求的插头，如果没有这样的插头，则需</w:t>
      </w:r>
      <w:r>
        <w:rPr>
          <w:rFonts w:hint="eastAsia" w:ascii="宋体"/>
          <w:sz w:val="24"/>
        </w:rPr>
        <w:t>提供适当的转</w:t>
      </w:r>
      <w:r>
        <w:rPr>
          <w:rFonts w:hint="eastAsia" w:ascii="宋体" w:hAnsi="宋体"/>
          <w:sz w:val="24"/>
        </w:rPr>
        <w:t>换插座。</w:t>
      </w:r>
    </w:p>
    <w:p w14:paraId="23254796">
      <w:pPr>
        <w:spacing w:line="360" w:lineRule="auto"/>
        <w:ind w:left="554" w:hanging="554" w:hangingChars="231"/>
        <w:rPr>
          <w:rFonts w:hint="eastAsia" w:ascii="宋体" w:hAnsi="宋体"/>
          <w:sz w:val="24"/>
        </w:rPr>
      </w:pPr>
      <w:r>
        <w:rPr>
          <w:rFonts w:hint="eastAsia" w:ascii="宋体" w:hAnsi="宋体"/>
          <w:sz w:val="24"/>
        </w:rPr>
        <w:t>3.4  如产品达不到上述要求，投标人应注明其偏差。如仪器设备需要特殊工作条件（如水、电源、磁场强度、温度、湿度、动强度等）投标人应在投标书中加以说明。</w:t>
      </w:r>
    </w:p>
    <w:p w14:paraId="68381537">
      <w:pPr>
        <w:rPr>
          <w:rFonts w:eastAsia="黑体"/>
          <w:b/>
          <w:bCs/>
          <w:kern w:val="44"/>
          <w:sz w:val="24"/>
        </w:rPr>
      </w:pPr>
    </w:p>
    <w:p w14:paraId="4A92C302">
      <w:pPr>
        <w:adjustRightInd w:val="0"/>
        <w:snapToGrid w:val="0"/>
        <w:spacing w:line="360" w:lineRule="auto"/>
        <w:rPr>
          <w:rFonts w:hint="eastAsia" w:ascii="宋体" w:hAnsi="宋体"/>
          <w:b/>
          <w:sz w:val="28"/>
          <w:szCs w:val="28"/>
        </w:rPr>
      </w:pPr>
      <w:r>
        <w:rPr>
          <w:rFonts w:hint="eastAsia" w:ascii="宋体" w:hAnsi="宋体"/>
          <w:b/>
          <w:sz w:val="28"/>
          <w:szCs w:val="28"/>
        </w:rPr>
        <w:t>4、验收标准</w:t>
      </w:r>
    </w:p>
    <w:p w14:paraId="7B50105F">
      <w:pPr>
        <w:spacing w:after="312" w:afterLines="100" w:line="360" w:lineRule="auto"/>
        <w:rPr>
          <w:rFonts w:hint="eastAsia" w:ascii="宋体" w:hAnsi="宋体"/>
          <w:sz w:val="24"/>
        </w:rPr>
      </w:pPr>
      <w:r>
        <w:rPr>
          <w:rFonts w:hint="eastAsia" w:ascii="宋体" w:hAnsi="宋体"/>
          <w:sz w:val="24"/>
        </w:rPr>
        <w:t>除非在技术规格中另有说明，所有仪器、设备和系统按下列要求进行验收：</w:t>
      </w:r>
      <w:r>
        <w:rPr>
          <w:rFonts w:ascii="宋体" w:hAnsi="宋体"/>
          <w:sz w:val="24"/>
        </w:rPr>
        <w:t xml:space="preserve"> </w:t>
      </w:r>
    </w:p>
    <w:p w14:paraId="4990F4E3">
      <w:pPr>
        <w:spacing w:line="360" w:lineRule="auto"/>
        <w:ind w:left="554" w:hanging="554" w:hangingChars="231"/>
        <w:rPr>
          <w:rFonts w:hint="eastAsia" w:ascii="宋体" w:hAnsi="宋体"/>
          <w:sz w:val="24"/>
        </w:rPr>
      </w:pPr>
      <w:r>
        <w:rPr>
          <w:rFonts w:hint="eastAsia" w:ascii="宋体" w:hAnsi="宋体"/>
          <w:sz w:val="24"/>
        </w:rPr>
        <w:t>4.1  仪器设备运抵安装现场后，买方将与卖方共同开箱验收</w:t>
      </w:r>
      <w:r>
        <w:rPr>
          <w:rFonts w:ascii="宋体" w:hAnsi="宋体"/>
          <w:sz w:val="24"/>
        </w:rPr>
        <w:t xml:space="preserve">, </w:t>
      </w:r>
      <w:r>
        <w:rPr>
          <w:rFonts w:hint="eastAsia" w:ascii="宋体" w:hAnsi="宋体"/>
          <w:sz w:val="24"/>
        </w:rPr>
        <w:t>如卖方届时不派人来</w:t>
      </w:r>
      <w:r>
        <w:rPr>
          <w:rFonts w:ascii="宋体" w:hAnsi="宋体"/>
          <w:sz w:val="24"/>
        </w:rPr>
        <w:t xml:space="preserve">, </w:t>
      </w:r>
      <w:r>
        <w:rPr>
          <w:rFonts w:hint="eastAsia" w:ascii="宋体" w:hAnsi="宋体"/>
          <w:sz w:val="24"/>
        </w:rPr>
        <w:t>则验收结果应以买方的验收报告为最终验收结果。验收时发现短缺、破损</w:t>
      </w:r>
      <w:r>
        <w:rPr>
          <w:rFonts w:ascii="宋体" w:hAnsi="宋体"/>
          <w:sz w:val="24"/>
        </w:rPr>
        <w:t xml:space="preserve">, </w:t>
      </w:r>
      <w:r>
        <w:rPr>
          <w:rFonts w:hint="eastAsia" w:ascii="宋体" w:hAnsi="宋体"/>
          <w:sz w:val="24"/>
        </w:rPr>
        <w:t>买方有权要求卖方负责更换。</w:t>
      </w:r>
    </w:p>
    <w:p w14:paraId="590F835A">
      <w:pPr>
        <w:spacing w:line="360" w:lineRule="auto"/>
        <w:ind w:left="554" w:hanging="554" w:hangingChars="231"/>
        <w:rPr>
          <w:rFonts w:hint="eastAsia" w:ascii="宋体" w:hAnsi="宋体"/>
          <w:sz w:val="24"/>
        </w:rPr>
      </w:pPr>
      <w:r>
        <w:rPr>
          <w:rFonts w:hint="eastAsia" w:ascii="宋体" w:hAnsi="宋体"/>
          <w:sz w:val="24"/>
        </w:rPr>
        <w:t xml:space="preserve">4.2  </w:t>
      </w:r>
      <w:r>
        <w:rPr>
          <w:rFonts w:hint="eastAsia"/>
          <w:sz w:val="24"/>
        </w:rPr>
        <w:t>验收标准以中标人提供的投标文件中所列的指标为准（该指标应不低于招标文件所要求的指标）。任何虚假指标响应一经发现即作废标，卖方必须承担由此给买方带来的一切经济损失和其它相关责任。</w:t>
      </w:r>
    </w:p>
    <w:p w14:paraId="432EFA33">
      <w:pPr>
        <w:spacing w:line="360" w:lineRule="auto"/>
        <w:ind w:left="554" w:hanging="554" w:hangingChars="231"/>
        <w:rPr>
          <w:rFonts w:hint="eastAsia" w:ascii="宋体" w:hAnsi="宋体"/>
          <w:sz w:val="24"/>
        </w:rPr>
      </w:pPr>
      <w:r>
        <w:rPr>
          <w:rFonts w:hint="eastAsia" w:ascii="宋体" w:hAnsi="宋体"/>
          <w:sz w:val="24"/>
        </w:rPr>
        <w:t xml:space="preserve">4.3  </w:t>
      </w:r>
      <w:r>
        <w:rPr>
          <w:rFonts w:ascii="宋体" w:hAnsi="宋体"/>
          <w:sz w:val="24"/>
        </w:rPr>
        <w:t>验收由采购人、中标人及相关人员依国家有关标准、合同及有关附件要求进行，验收完毕由采购人及中标人在验收报告上签名。</w:t>
      </w:r>
    </w:p>
    <w:p w14:paraId="7C413C95">
      <w:pPr>
        <w:pStyle w:val="20"/>
        <w:spacing w:line="360" w:lineRule="auto"/>
        <w:ind w:left="410" w:hanging="410" w:hangingChars="170"/>
        <w:rPr>
          <w:rFonts w:hint="eastAsia" w:hAnsi="宋体"/>
          <w:b/>
          <w:sz w:val="24"/>
          <w:szCs w:val="24"/>
        </w:rPr>
      </w:pPr>
    </w:p>
    <w:p w14:paraId="6DBE19F6">
      <w:pPr>
        <w:adjustRightInd w:val="0"/>
        <w:snapToGrid w:val="0"/>
        <w:spacing w:line="360" w:lineRule="auto"/>
        <w:rPr>
          <w:rFonts w:hint="eastAsia" w:hAnsi="宋体"/>
          <w:b/>
          <w:sz w:val="24"/>
        </w:rPr>
      </w:pPr>
      <w:r>
        <w:rPr>
          <w:rFonts w:hint="eastAsia"/>
          <w:b/>
          <w:bCs/>
          <w:sz w:val="24"/>
        </w:rPr>
        <w:t>5、本采购需求书中标注“★”号技术条款的为实质性要求，不满足其投标将视为无效投标被拒绝。</w:t>
      </w:r>
    </w:p>
    <w:p w14:paraId="30F6D9B2">
      <w:pPr>
        <w:adjustRightInd w:val="0"/>
        <w:snapToGrid w:val="0"/>
        <w:spacing w:line="360" w:lineRule="auto"/>
        <w:rPr>
          <w:rFonts w:hint="eastAsia" w:ascii="宋体" w:hAnsi="宋体"/>
          <w:b/>
          <w:sz w:val="24"/>
        </w:rPr>
      </w:pPr>
    </w:p>
    <w:p w14:paraId="090A47BA">
      <w:pPr>
        <w:adjustRightInd w:val="0"/>
        <w:snapToGrid w:val="0"/>
        <w:spacing w:line="360" w:lineRule="auto"/>
        <w:rPr>
          <w:rFonts w:hint="eastAsia" w:ascii="宋体" w:hAnsi="宋体"/>
          <w:b/>
          <w:sz w:val="24"/>
        </w:rPr>
      </w:pPr>
      <w:r>
        <w:rPr>
          <w:rFonts w:hint="eastAsia" w:ascii="宋体" w:hAnsi="宋体"/>
          <w:b/>
          <w:sz w:val="24"/>
        </w:rPr>
        <w:t>6、如在具体技术规格中有本总则不一致之处，以具体技术规格中的要求为准。</w:t>
      </w:r>
    </w:p>
    <w:p w14:paraId="6A6E57AD">
      <w:pPr>
        <w:adjustRightInd w:val="0"/>
        <w:snapToGrid w:val="0"/>
        <w:spacing w:line="360" w:lineRule="auto"/>
        <w:rPr>
          <w:rFonts w:hint="eastAsia" w:ascii="宋体" w:hAnsi="宋体"/>
          <w:b/>
          <w:sz w:val="28"/>
          <w:szCs w:val="28"/>
        </w:rPr>
      </w:pPr>
      <w:r>
        <w:rPr>
          <w:rFonts w:ascii="宋体" w:hAnsi="宋体"/>
          <w:b/>
          <w:sz w:val="28"/>
        </w:rPr>
        <w:br w:type="page"/>
      </w:r>
      <w:r>
        <w:rPr>
          <w:rFonts w:hint="eastAsia" w:ascii="宋体" w:hAnsi="宋体"/>
          <w:b/>
          <w:sz w:val="28"/>
          <w:szCs w:val="28"/>
        </w:rPr>
        <w:t>二、具体技术规格</w:t>
      </w:r>
    </w:p>
    <w:p w14:paraId="26266F07">
      <w:pPr>
        <w:jc w:val="center"/>
        <w:rPr>
          <w:b/>
          <w:sz w:val="24"/>
        </w:rPr>
      </w:pPr>
      <w:r>
        <w:rPr>
          <w:rFonts w:hint="eastAsia"/>
          <w:b/>
          <w:sz w:val="24"/>
        </w:rPr>
        <w:t>第1包 飞秒激光精密微纳加工系统</w:t>
      </w:r>
    </w:p>
    <w:p w14:paraId="2B7E1797">
      <w:pPr>
        <w:rPr>
          <w:b/>
          <w:sz w:val="24"/>
        </w:rPr>
      </w:pPr>
    </w:p>
    <w:p w14:paraId="1F5BD09A">
      <w:pPr>
        <w:numPr>
          <w:ilvl w:val="0"/>
          <w:numId w:val="1"/>
        </w:numPr>
        <w:rPr>
          <w:b/>
          <w:sz w:val="24"/>
        </w:rPr>
      </w:pPr>
      <w:r>
        <w:rPr>
          <w:rFonts w:hint="eastAsia"/>
          <w:b/>
          <w:sz w:val="24"/>
        </w:rPr>
        <w:t>技术要求：</w:t>
      </w:r>
    </w:p>
    <w:p w14:paraId="205E6822">
      <w:pPr>
        <w:rPr>
          <w:b/>
          <w:sz w:val="24"/>
        </w:rPr>
      </w:pPr>
    </w:p>
    <w:p w14:paraId="60CD9F11">
      <w:pPr>
        <w:spacing w:line="360" w:lineRule="auto"/>
        <w:rPr>
          <w:b/>
          <w:sz w:val="24"/>
        </w:rPr>
      </w:pPr>
      <w:r>
        <w:rPr>
          <w:b/>
          <w:sz w:val="24"/>
        </w:rPr>
        <w:t>1</w:t>
      </w:r>
      <w:r>
        <w:rPr>
          <w:rFonts w:hint="eastAsia"/>
          <w:b/>
          <w:sz w:val="24"/>
        </w:rPr>
        <w:t>.工作条件</w:t>
      </w:r>
    </w:p>
    <w:p w14:paraId="4B5C2A4A">
      <w:pPr>
        <w:spacing w:line="360" w:lineRule="auto"/>
        <w:rPr>
          <w:sz w:val="24"/>
        </w:rPr>
      </w:pPr>
      <w:r>
        <w:rPr>
          <w:sz w:val="24"/>
        </w:rPr>
        <w:t xml:space="preserve">1.1 </w:t>
      </w:r>
      <w:r>
        <w:rPr>
          <w:rFonts w:hint="eastAsia"/>
          <w:sz w:val="24"/>
        </w:rPr>
        <w:t>工作电压：单相</w:t>
      </w:r>
      <w:r>
        <w:rPr>
          <w:sz w:val="24"/>
        </w:rPr>
        <w:t>AC 220V (</w:t>
      </w:r>
      <w:r>
        <w:rPr>
          <w:rFonts w:hint="eastAsia"/>
          <w:sz w:val="24"/>
        </w:rPr>
        <w:t>±2</w:t>
      </w:r>
      <w:r>
        <w:rPr>
          <w:sz w:val="24"/>
        </w:rPr>
        <w:t>%)</w:t>
      </w:r>
      <w:r>
        <w:rPr>
          <w:rFonts w:hint="eastAsia"/>
          <w:sz w:val="24"/>
        </w:rPr>
        <w:t>，</w:t>
      </w:r>
      <w:r>
        <w:rPr>
          <w:sz w:val="24"/>
        </w:rPr>
        <w:t>50Hz</w:t>
      </w:r>
      <w:r>
        <w:rPr>
          <w:rFonts w:hint="eastAsia"/>
          <w:sz w:val="24"/>
        </w:rPr>
        <w:t xml:space="preserve">； </w:t>
      </w:r>
    </w:p>
    <w:p w14:paraId="29CF2DEE">
      <w:pPr>
        <w:spacing w:line="360" w:lineRule="auto"/>
        <w:rPr>
          <w:sz w:val="24"/>
        </w:rPr>
      </w:pPr>
      <w:r>
        <w:rPr>
          <w:sz w:val="24"/>
        </w:rPr>
        <w:t>1.</w:t>
      </w:r>
      <w:r>
        <w:rPr>
          <w:rFonts w:hint="eastAsia"/>
          <w:sz w:val="24"/>
        </w:rPr>
        <w:t>2</w:t>
      </w:r>
      <w:r>
        <w:rPr>
          <w:sz w:val="24"/>
        </w:rPr>
        <w:t xml:space="preserve"> </w:t>
      </w:r>
      <w:r>
        <w:rPr>
          <w:rFonts w:hint="eastAsia"/>
          <w:sz w:val="24"/>
        </w:rPr>
        <w:t>环境温度： 5-40℃；</w:t>
      </w:r>
    </w:p>
    <w:p w14:paraId="0C21BD29">
      <w:pPr>
        <w:spacing w:line="360" w:lineRule="auto"/>
        <w:rPr>
          <w:sz w:val="24"/>
        </w:rPr>
      </w:pPr>
      <w:r>
        <w:rPr>
          <w:sz w:val="24"/>
        </w:rPr>
        <w:t>1.</w:t>
      </w:r>
      <w:r>
        <w:rPr>
          <w:rFonts w:hint="eastAsia"/>
          <w:sz w:val="24"/>
        </w:rPr>
        <w:t>3</w:t>
      </w:r>
      <w:r>
        <w:rPr>
          <w:sz w:val="24"/>
        </w:rPr>
        <w:t xml:space="preserve"> </w:t>
      </w:r>
      <w:r>
        <w:rPr>
          <w:rFonts w:hint="eastAsia"/>
          <w:sz w:val="24"/>
        </w:rPr>
        <w:t>相对湿度：＜80%；</w:t>
      </w:r>
    </w:p>
    <w:p w14:paraId="05627C21">
      <w:pPr>
        <w:snapToGrid w:val="0"/>
        <w:spacing w:line="440" w:lineRule="atLeast"/>
        <w:rPr>
          <w:sz w:val="24"/>
        </w:rPr>
      </w:pPr>
      <w:r>
        <w:rPr>
          <w:rFonts w:hint="eastAsia"/>
          <w:sz w:val="24"/>
        </w:rPr>
        <w:t>1.4 洁净度：十万级。</w:t>
      </w:r>
    </w:p>
    <w:p w14:paraId="2E40B43D">
      <w:pPr>
        <w:snapToGrid w:val="0"/>
        <w:spacing w:line="440" w:lineRule="atLeast"/>
        <w:rPr>
          <w:sz w:val="24"/>
        </w:rPr>
      </w:pPr>
    </w:p>
    <w:p w14:paraId="034F4F1F">
      <w:pPr>
        <w:spacing w:line="360" w:lineRule="auto"/>
        <w:rPr>
          <w:b/>
          <w:sz w:val="24"/>
        </w:rPr>
      </w:pPr>
      <w:r>
        <w:rPr>
          <w:b/>
          <w:sz w:val="24"/>
        </w:rPr>
        <w:t>2</w:t>
      </w:r>
      <w:r>
        <w:rPr>
          <w:rFonts w:hint="eastAsia"/>
          <w:b/>
          <w:sz w:val="24"/>
        </w:rPr>
        <w:t>.仪器用途</w:t>
      </w:r>
      <w:r>
        <w:rPr>
          <w:b/>
          <w:sz w:val="24"/>
        </w:rPr>
        <w:t xml:space="preserve">  </w:t>
      </w:r>
    </w:p>
    <w:p w14:paraId="149B0C44">
      <w:pPr>
        <w:snapToGrid w:val="0"/>
        <w:spacing w:line="440" w:lineRule="atLeast"/>
        <w:rPr>
          <w:sz w:val="24"/>
        </w:rPr>
      </w:pPr>
      <w:r>
        <w:rPr>
          <w:rFonts w:hint="eastAsia"/>
          <w:sz w:val="24"/>
        </w:rPr>
        <w:t>飞秒激光微纳加工平台用于功能晶体微纳加工，硬脆材料减材加工、光纤光栅刻写、双光子3D打印。</w:t>
      </w:r>
    </w:p>
    <w:p w14:paraId="1B32426E">
      <w:pPr>
        <w:snapToGrid w:val="0"/>
        <w:spacing w:line="440" w:lineRule="atLeast"/>
        <w:rPr>
          <w:sz w:val="24"/>
        </w:rPr>
      </w:pPr>
    </w:p>
    <w:p w14:paraId="722B4981">
      <w:pPr>
        <w:spacing w:line="360" w:lineRule="auto"/>
        <w:rPr>
          <w:b/>
          <w:sz w:val="24"/>
        </w:rPr>
      </w:pPr>
      <w:r>
        <w:rPr>
          <w:b/>
          <w:sz w:val="24"/>
        </w:rPr>
        <w:t>3</w:t>
      </w:r>
      <w:r>
        <w:rPr>
          <w:rFonts w:hint="eastAsia"/>
          <w:b/>
          <w:sz w:val="24"/>
        </w:rPr>
        <w:t>.技术指标</w:t>
      </w:r>
    </w:p>
    <w:p w14:paraId="01AFC803">
      <w:pPr>
        <w:spacing w:line="360" w:lineRule="auto"/>
        <w:rPr>
          <w:b/>
          <w:bCs/>
          <w:sz w:val="24"/>
        </w:rPr>
      </w:pPr>
      <w:bookmarkStart w:id="4" w:name="OLE_LINK4"/>
      <w:r>
        <w:rPr>
          <w:rFonts w:hint="eastAsia"/>
          <w:b/>
          <w:bCs/>
          <w:sz w:val="24"/>
        </w:rPr>
        <w:t>3.1</w:t>
      </w:r>
      <w:bookmarkEnd w:id="4"/>
      <w:bookmarkStart w:id="5" w:name="OLE_LINK3"/>
      <w:r>
        <w:rPr>
          <w:rFonts w:hint="eastAsia"/>
          <w:b/>
          <w:bCs/>
          <w:sz w:val="24"/>
        </w:rPr>
        <w:t>、</w:t>
      </w:r>
      <w:bookmarkEnd w:id="5"/>
      <w:r>
        <w:rPr>
          <w:rFonts w:hint="eastAsia"/>
          <w:b/>
          <w:bCs/>
          <w:sz w:val="24"/>
        </w:rPr>
        <w:t>全固态一体化飞秒激光器</w:t>
      </w:r>
    </w:p>
    <w:p w14:paraId="4F98CF2A">
      <w:pPr>
        <w:spacing w:line="360" w:lineRule="auto"/>
        <w:rPr>
          <w:sz w:val="24"/>
        </w:rPr>
      </w:pPr>
      <w:r>
        <w:rPr>
          <w:rFonts w:hint="eastAsia"/>
          <w:sz w:val="24"/>
        </w:rPr>
        <w:t>#3.1.1具备FEC脉冲能量控制功能</w:t>
      </w:r>
    </w:p>
    <w:p w14:paraId="34506151">
      <w:pPr>
        <w:spacing w:line="360" w:lineRule="auto"/>
        <w:rPr>
          <w:sz w:val="24"/>
        </w:rPr>
      </w:pPr>
      <w:bookmarkStart w:id="6" w:name="OLE_LINK5"/>
      <w:r>
        <w:rPr>
          <w:rFonts w:hint="eastAsia"/>
          <w:sz w:val="24"/>
        </w:rPr>
        <w:t>#3.1.2</w:t>
      </w:r>
      <w:bookmarkEnd w:id="6"/>
      <w:r>
        <w:rPr>
          <w:rFonts w:hint="eastAsia"/>
          <w:sz w:val="24"/>
        </w:rPr>
        <w:t>最小脉宽≤250fs，脉宽调节范围250fs-10ps</w:t>
      </w:r>
    </w:p>
    <w:p w14:paraId="0AB22FDA">
      <w:pPr>
        <w:spacing w:line="360" w:lineRule="auto"/>
        <w:rPr>
          <w:sz w:val="24"/>
        </w:rPr>
      </w:pPr>
      <w:r>
        <w:rPr>
          <w:rFonts w:hint="eastAsia"/>
          <w:sz w:val="24"/>
        </w:rPr>
        <w:t>3.1.3脉冲能量稳定性＜0.5% (24小时），长期功率稳定性＜0.5%（100小时）</w:t>
      </w:r>
    </w:p>
    <w:p w14:paraId="70E28659">
      <w:pPr>
        <w:spacing w:line="360" w:lineRule="auto"/>
        <w:rPr>
          <w:sz w:val="24"/>
        </w:rPr>
      </w:pPr>
      <w:r>
        <w:rPr>
          <w:rFonts w:hint="eastAsia"/>
          <w:sz w:val="24"/>
        </w:rPr>
        <w:t>3.1.4最大平均功率≥20W</w:t>
      </w:r>
    </w:p>
    <w:p w14:paraId="3D490176">
      <w:pPr>
        <w:spacing w:line="360" w:lineRule="auto"/>
        <w:rPr>
          <w:sz w:val="24"/>
        </w:rPr>
      </w:pPr>
      <w:r>
        <w:rPr>
          <w:rFonts w:hint="eastAsia"/>
          <w:sz w:val="24"/>
        </w:rPr>
        <w:t>3.1.5中心波长1030±10nm</w:t>
      </w:r>
    </w:p>
    <w:p w14:paraId="34C9F2E5">
      <w:pPr>
        <w:spacing w:line="360" w:lineRule="auto"/>
        <w:rPr>
          <w:sz w:val="24"/>
        </w:rPr>
      </w:pPr>
      <w:r>
        <w:rPr>
          <w:rFonts w:hint="eastAsia"/>
          <w:sz w:val="24"/>
        </w:rPr>
        <w:t>3.1.6单脉冲能量≥400uj</w:t>
      </w:r>
    </w:p>
    <w:p w14:paraId="42780BAA">
      <w:pPr>
        <w:spacing w:line="360" w:lineRule="auto"/>
        <w:rPr>
          <w:sz w:val="24"/>
        </w:rPr>
      </w:pPr>
      <w:r>
        <w:rPr>
          <w:rFonts w:hint="eastAsia"/>
          <w:sz w:val="24"/>
        </w:rPr>
        <w:t>3.1.7重复频率1-1MHz可调</w:t>
      </w:r>
    </w:p>
    <w:p w14:paraId="126455BF">
      <w:pPr>
        <w:spacing w:line="360" w:lineRule="auto"/>
        <w:rPr>
          <w:sz w:val="24"/>
        </w:rPr>
      </w:pPr>
      <w:r>
        <w:rPr>
          <w:rFonts w:hint="eastAsia"/>
          <w:sz w:val="24"/>
        </w:rPr>
        <w:t>3.1.8光束质量M2＜1.2</w:t>
      </w:r>
    </w:p>
    <w:p w14:paraId="2E3A43D3">
      <w:pPr>
        <w:spacing w:line="360" w:lineRule="auto"/>
        <w:rPr>
          <w:sz w:val="24"/>
        </w:rPr>
      </w:pPr>
      <w:r>
        <w:rPr>
          <w:rFonts w:hint="eastAsia"/>
          <w:sz w:val="24"/>
        </w:rPr>
        <w:t>3.1.9光斑直径3.9±0.4mm</w:t>
      </w:r>
    </w:p>
    <w:p w14:paraId="0C48BB6A">
      <w:pPr>
        <w:spacing w:line="360" w:lineRule="auto"/>
        <w:rPr>
          <w:sz w:val="24"/>
        </w:rPr>
      </w:pPr>
      <w:r>
        <w:rPr>
          <w:rFonts w:hint="eastAsia"/>
          <w:sz w:val="24"/>
        </w:rPr>
        <w:t>3.1.10光束指向稳定性＜20urad/℃</w:t>
      </w:r>
    </w:p>
    <w:p w14:paraId="5D4A891A">
      <w:pPr>
        <w:spacing w:line="360" w:lineRule="auto"/>
        <w:rPr>
          <w:sz w:val="24"/>
        </w:rPr>
      </w:pPr>
      <w:r>
        <w:rPr>
          <w:rFonts w:hint="eastAsia"/>
          <w:sz w:val="24"/>
        </w:rPr>
        <w:t>3.1.11二倍频，三倍频输出，2H效率≥50%，3H效率≥25%。</w:t>
      </w:r>
    </w:p>
    <w:p w14:paraId="0F7AA21C">
      <w:pPr>
        <w:spacing w:line="360" w:lineRule="auto"/>
        <w:rPr>
          <w:sz w:val="24"/>
        </w:rPr>
      </w:pPr>
    </w:p>
    <w:p w14:paraId="6EA9C2B8">
      <w:pPr>
        <w:spacing w:line="360" w:lineRule="auto"/>
        <w:rPr>
          <w:b/>
          <w:bCs/>
          <w:sz w:val="24"/>
        </w:rPr>
      </w:pPr>
      <w:r>
        <w:rPr>
          <w:rFonts w:hint="eastAsia"/>
          <w:b/>
          <w:bCs/>
          <w:sz w:val="24"/>
        </w:rPr>
        <w:t>3.2、高精密三轴位移+两轴振镜加工平台</w:t>
      </w:r>
    </w:p>
    <w:p w14:paraId="019FEFAE">
      <w:pPr>
        <w:spacing w:line="360" w:lineRule="auto"/>
        <w:rPr>
          <w:sz w:val="24"/>
        </w:rPr>
      </w:pPr>
      <w:r>
        <w:rPr>
          <w:rFonts w:hint="eastAsia"/>
          <w:sz w:val="24"/>
        </w:rPr>
        <w:t>#3.2.1</w:t>
      </w:r>
      <w:r>
        <w:rPr>
          <w:sz w:val="24"/>
        </w:rPr>
        <w:t>XY轴为气浮位移台，Z轴为双气缸位移台</w:t>
      </w:r>
      <w:r>
        <w:rPr>
          <w:rFonts w:hint="eastAsia"/>
          <w:sz w:val="24"/>
        </w:rPr>
        <w:t>，</w:t>
      </w:r>
      <w:r>
        <w:rPr>
          <w:sz w:val="24"/>
        </w:rPr>
        <w:t>X轴双向重复</w:t>
      </w:r>
      <w:r>
        <w:rPr>
          <w:rFonts w:hint="eastAsia"/>
          <w:sz w:val="24"/>
        </w:rPr>
        <w:t>定位</w:t>
      </w:r>
      <w:r>
        <w:rPr>
          <w:sz w:val="24"/>
        </w:rPr>
        <w:t>精度≤±100 nm，Y轴双向重复</w:t>
      </w:r>
      <w:r>
        <w:rPr>
          <w:rFonts w:hint="eastAsia"/>
          <w:sz w:val="24"/>
        </w:rPr>
        <w:t>定位</w:t>
      </w:r>
      <w:r>
        <w:rPr>
          <w:sz w:val="24"/>
        </w:rPr>
        <w:t>精度≤±50 nm，Z轴双向重复</w:t>
      </w:r>
      <w:r>
        <w:rPr>
          <w:rFonts w:hint="eastAsia"/>
          <w:sz w:val="24"/>
        </w:rPr>
        <w:t>定位</w:t>
      </w:r>
      <w:r>
        <w:rPr>
          <w:sz w:val="24"/>
        </w:rPr>
        <w:t>精度≤±75 nm</w:t>
      </w:r>
      <w:r>
        <w:rPr>
          <w:rFonts w:hint="eastAsia"/>
          <w:sz w:val="24"/>
        </w:rPr>
        <w:t>；</w:t>
      </w:r>
    </w:p>
    <w:p w14:paraId="6FBA89CD">
      <w:pPr>
        <w:spacing w:line="360" w:lineRule="auto"/>
        <w:rPr>
          <w:sz w:val="24"/>
        </w:rPr>
      </w:pPr>
      <w:r>
        <w:rPr>
          <w:rFonts w:hint="eastAsia"/>
          <w:sz w:val="24"/>
        </w:rPr>
        <w:t>3.2.2</w:t>
      </w:r>
      <w:r>
        <w:rPr>
          <w:sz w:val="24"/>
        </w:rPr>
        <w:t>驱动器采用线性放大器，高速光纤通讯接口，支持三轴基于真实编码器的PSO 同步触发，运动控制软件支持三轴直线、螺旋线联动插补</w:t>
      </w:r>
      <w:r>
        <w:rPr>
          <w:rFonts w:hint="eastAsia"/>
          <w:sz w:val="24"/>
        </w:rPr>
        <w:t>。</w:t>
      </w:r>
    </w:p>
    <w:p w14:paraId="62456207">
      <w:pPr>
        <w:spacing w:line="360" w:lineRule="auto"/>
        <w:rPr>
          <w:sz w:val="24"/>
        </w:rPr>
      </w:pPr>
      <w:bookmarkStart w:id="7" w:name="OLE_LINK26"/>
      <w:r>
        <w:rPr>
          <w:rFonts w:hint="eastAsia"/>
          <w:sz w:val="24"/>
        </w:rPr>
        <w:t>#</w:t>
      </w:r>
      <w:bookmarkEnd w:id="7"/>
      <w:r>
        <w:rPr>
          <w:rFonts w:hint="eastAsia"/>
          <w:sz w:val="24"/>
        </w:rPr>
        <w:t>3.2.3振镜反馈分辨率</w:t>
      </w:r>
      <w:r>
        <w:rPr>
          <w:sz w:val="24"/>
        </w:rPr>
        <w:t>≤0.012urad</w:t>
      </w:r>
      <w:r>
        <w:rPr>
          <w:rFonts w:hint="eastAsia"/>
          <w:sz w:val="24"/>
        </w:rPr>
        <w:t>（</w:t>
      </w:r>
      <w:r>
        <w:rPr>
          <w:sz w:val="24"/>
        </w:rPr>
        <w:t>25-Bit</w:t>
      </w:r>
      <w:r>
        <w:rPr>
          <w:rFonts w:hint="eastAsia"/>
          <w:sz w:val="24"/>
        </w:rPr>
        <w:t>），振镜重复性（</w:t>
      </w:r>
      <w:r>
        <w:rPr>
          <w:sz w:val="24"/>
        </w:rPr>
        <w:t>RMS</w:t>
      </w:r>
      <w:r>
        <w:rPr>
          <w:rFonts w:hint="eastAsia"/>
          <w:sz w:val="24"/>
        </w:rPr>
        <w:t>）</w:t>
      </w:r>
      <w:r>
        <w:rPr>
          <w:sz w:val="24"/>
        </w:rPr>
        <w:t>≤0.4urad</w:t>
      </w:r>
      <w:r>
        <w:rPr>
          <w:rFonts w:hint="eastAsia"/>
          <w:sz w:val="24"/>
        </w:rPr>
        <w:t>，</w:t>
      </w:r>
      <w:r>
        <w:rPr>
          <w:sz w:val="24"/>
        </w:rPr>
        <w:t xml:space="preserve"> </w:t>
      </w:r>
      <w:r>
        <w:rPr>
          <w:rFonts w:hint="eastAsia"/>
          <w:sz w:val="24"/>
        </w:rPr>
        <w:t>两轴振镜支持与位移台实现无限视野功能（</w:t>
      </w:r>
      <w:r>
        <w:rPr>
          <w:sz w:val="24"/>
        </w:rPr>
        <w:t>IFOV</w:t>
      </w:r>
      <w:r>
        <w:rPr>
          <w:rFonts w:hint="eastAsia"/>
          <w:sz w:val="24"/>
        </w:rPr>
        <w:t>）。</w:t>
      </w:r>
    </w:p>
    <w:p w14:paraId="1ACE82C8">
      <w:pPr>
        <w:spacing w:line="360" w:lineRule="auto"/>
        <w:rPr>
          <w:sz w:val="24"/>
        </w:rPr>
      </w:pPr>
      <w:bookmarkStart w:id="8" w:name="OLE_LINK21"/>
      <w:r>
        <w:rPr>
          <w:rFonts w:hint="eastAsia"/>
          <w:sz w:val="24"/>
        </w:rPr>
        <w:t>3.2.</w:t>
      </w:r>
      <w:bookmarkEnd w:id="8"/>
      <w:r>
        <w:rPr>
          <w:rFonts w:hint="eastAsia"/>
          <w:sz w:val="24"/>
        </w:rPr>
        <w:t xml:space="preserve">4 </w:t>
      </w:r>
      <w:r>
        <w:rPr>
          <w:sz w:val="24"/>
        </w:rPr>
        <w:t>XYZ三轴运动范围≥200 x 100 x 60mm</w:t>
      </w:r>
    </w:p>
    <w:p w14:paraId="7F7BFD22">
      <w:pPr>
        <w:spacing w:line="360" w:lineRule="auto"/>
        <w:rPr>
          <w:sz w:val="24"/>
        </w:rPr>
      </w:pPr>
      <w:bookmarkStart w:id="9" w:name="OLE_LINK22"/>
      <w:r>
        <w:rPr>
          <w:rFonts w:hint="eastAsia"/>
          <w:sz w:val="24"/>
        </w:rPr>
        <w:t>3.2.</w:t>
      </w:r>
      <w:bookmarkEnd w:id="9"/>
      <w:r>
        <w:rPr>
          <w:rFonts w:hint="eastAsia"/>
          <w:sz w:val="24"/>
        </w:rPr>
        <w:t xml:space="preserve">5 </w:t>
      </w:r>
      <w:r>
        <w:rPr>
          <w:sz w:val="24"/>
        </w:rPr>
        <w:t>X轴定位精度≤±0.4µm，Y轴定位精度≤±0.2µm，Z轴定位精度≤±0.325µm</w:t>
      </w:r>
    </w:p>
    <w:p w14:paraId="52AAF052">
      <w:pPr>
        <w:spacing w:line="360" w:lineRule="auto"/>
        <w:rPr>
          <w:sz w:val="24"/>
        </w:rPr>
      </w:pPr>
      <w:bookmarkStart w:id="10" w:name="OLE_LINK23"/>
      <w:r>
        <w:rPr>
          <w:rFonts w:hint="eastAsia"/>
          <w:sz w:val="24"/>
        </w:rPr>
        <w:t xml:space="preserve">3.2.6 </w:t>
      </w:r>
      <w:bookmarkEnd w:id="10"/>
      <w:r>
        <w:rPr>
          <w:sz w:val="24"/>
        </w:rPr>
        <w:t>XY 轴直线度≤±0.5 μm</w:t>
      </w:r>
    </w:p>
    <w:p w14:paraId="02D25415">
      <w:pPr>
        <w:spacing w:line="360" w:lineRule="auto"/>
        <w:rPr>
          <w:sz w:val="24"/>
        </w:rPr>
      </w:pPr>
      <w:bookmarkStart w:id="11" w:name="OLE_LINK24"/>
      <w:r>
        <w:rPr>
          <w:rFonts w:hint="eastAsia"/>
          <w:sz w:val="24"/>
        </w:rPr>
        <w:t xml:space="preserve">3.2.7 </w:t>
      </w:r>
      <w:bookmarkEnd w:id="11"/>
      <w:r>
        <w:rPr>
          <w:sz w:val="24"/>
        </w:rPr>
        <w:t>XY轴最大速度≥200mm/s</w:t>
      </w:r>
    </w:p>
    <w:p w14:paraId="59F05862">
      <w:pPr>
        <w:spacing w:line="360" w:lineRule="auto"/>
        <w:rPr>
          <w:sz w:val="24"/>
        </w:rPr>
      </w:pPr>
      <w:bookmarkStart w:id="12" w:name="OLE_LINK25"/>
      <w:r>
        <w:rPr>
          <w:rFonts w:hint="eastAsia"/>
          <w:sz w:val="24"/>
        </w:rPr>
        <w:t xml:space="preserve">3.2.8 </w:t>
      </w:r>
      <w:bookmarkEnd w:id="12"/>
      <w:r>
        <w:rPr>
          <w:sz w:val="24"/>
        </w:rPr>
        <w:t>Z轴分辨率≤2nm</w:t>
      </w:r>
    </w:p>
    <w:p w14:paraId="747B8EA1">
      <w:pPr>
        <w:spacing w:line="360" w:lineRule="auto"/>
        <w:rPr>
          <w:sz w:val="24"/>
        </w:rPr>
      </w:pPr>
      <w:r>
        <w:rPr>
          <w:rFonts w:hint="eastAsia"/>
          <w:sz w:val="24"/>
        </w:rPr>
        <w:t>3.2.9</w:t>
      </w:r>
      <w:r>
        <w:rPr>
          <w:sz w:val="24"/>
        </w:rPr>
        <w:t>振镜口径≥10mm</w:t>
      </w:r>
    </w:p>
    <w:p w14:paraId="431B9DF7">
      <w:pPr>
        <w:spacing w:line="360" w:lineRule="auto"/>
        <w:rPr>
          <w:b/>
          <w:bCs/>
          <w:sz w:val="24"/>
        </w:rPr>
      </w:pPr>
    </w:p>
    <w:p w14:paraId="1587E0BA">
      <w:pPr>
        <w:spacing w:line="360" w:lineRule="auto"/>
        <w:rPr>
          <w:b/>
          <w:bCs/>
          <w:sz w:val="24"/>
        </w:rPr>
      </w:pPr>
      <w:r>
        <w:rPr>
          <w:rFonts w:hint="eastAsia"/>
          <w:b/>
          <w:bCs/>
          <w:sz w:val="24"/>
        </w:rPr>
        <w:t>3.3、</w:t>
      </w:r>
      <w:r>
        <w:rPr>
          <w:b/>
          <w:bCs/>
          <w:sz w:val="24"/>
        </w:rPr>
        <w:t>输出光路系统</w:t>
      </w:r>
    </w:p>
    <w:p w14:paraId="18C50ACD">
      <w:pPr>
        <w:spacing w:line="360" w:lineRule="auto"/>
        <w:rPr>
          <w:sz w:val="24"/>
        </w:rPr>
      </w:pPr>
      <w:bookmarkStart w:id="13" w:name="OLE_LINK32"/>
      <w:bookmarkStart w:id="14" w:name="OLE_LINK20"/>
      <w:r>
        <w:rPr>
          <w:rFonts w:hint="eastAsia"/>
          <w:sz w:val="24"/>
        </w:rPr>
        <w:t>#</w:t>
      </w:r>
      <w:bookmarkEnd w:id="13"/>
      <w:r>
        <w:rPr>
          <w:rFonts w:hint="eastAsia"/>
          <w:sz w:val="24"/>
        </w:rPr>
        <w:t>3.3.1四光路传输，第一路515nm经振镜+物镜聚焦加工，第二路343nm经物镜聚焦加工，第三路515nm经SLM+4F系统+物镜聚焦加工，第四路1030nm经物镜聚焦加工（需要具备偏振态快速调制功能）</w:t>
      </w:r>
      <w:bookmarkEnd w:id="14"/>
      <w:r>
        <w:rPr>
          <w:rFonts w:hint="eastAsia"/>
          <w:sz w:val="24"/>
        </w:rPr>
        <w:t>，且具备时间整形功能，调节精度为＜200fs，功率调节细分≤0.1%（非机械细分）。</w:t>
      </w:r>
    </w:p>
    <w:p w14:paraId="5A3C1C09">
      <w:pPr>
        <w:spacing w:line="360" w:lineRule="auto"/>
        <w:rPr>
          <w:sz w:val="24"/>
        </w:rPr>
      </w:pPr>
      <w:bookmarkStart w:id="15" w:name="OLE_LINK27"/>
      <w:r>
        <w:rPr>
          <w:rFonts w:hint="eastAsia"/>
          <w:sz w:val="24"/>
        </w:rPr>
        <w:t>3.3.2</w:t>
      </w:r>
      <w:bookmarkEnd w:id="15"/>
      <w:r>
        <w:rPr>
          <w:rFonts w:hint="eastAsia"/>
          <w:sz w:val="24"/>
        </w:rPr>
        <w:t>光路由反射镜、四分之一波片、二向色镜等光学元件组成，配备扩束镜、偏振控制器、衰减器、镜架组。</w:t>
      </w:r>
    </w:p>
    <w:p w14:paraId="4F0C5CA3">
      <w:pPr>
        <w:spacing w:line="360" w:lineRule="auto"/>
        <w:rPr>
          <w:sz w:val="24"/>
        </w:rPr>
      </w:pPr>
      <w:bookmarkStart w:id="16" w:name="OLE_LINK28"/>
      <w:r>
        <w:rPr>
          <w:rFonts w:hint="eastAsia"/>
          <w:sz w:val="24"/>
        </w:rPr>
        <w:t>3.3.</w:t>
      </w:r>
      <w:bookmarkEnd w:id="16"/>
      <w:r>
        <w:rPr>
          <w:rFonts w:hint="eastAsia"/>
          <w:sz w:val="24"/>
        </w:rPr>
        <w:t>3高反射率介质膜反射镜，反射率&gt;99%，入射角度45°，LowGDD。</w:t>
      </w:r>
    </w:p>
    <w:p w14:paraId="284AAB1D">
      <w:pPr>
        <w:spacing w:line="360" w:lineRule="auto"/>
        <w:rPr>
          <w:sz w:val="24"/>
        </w:rPr>
      </w:pPr>
      <w:bookmarkStart w:id="17" w:name="OLE_LINK29"/>
      <w:r>
        <w:rPr>
          <w:rFonts w:hint="eastAsia"/>
          <w:sz w:val="24"/>
        </w:rPr>
        <w:t>3.3.</w:t>
      </w:r>
      <w:bookmarkEnd w:id="17"/>
      <w:r>
        <w:rPr>
          <w:rFonts w:hint="eastAsia"/>
          <w:sz w:val="24"/>
        </w:rPr>
        <w:t>4调整架具备俯仰、偏转调节和自锁功能，物镜镜架具备多维调整功能.</w:t>
      </w:r>
    </w:p>
    <w:p w14:paraId="53933F77">
      <w:pPr>
        <w:spacing w:line="360" w:lineRule="auto"/>
        <w:rPr>
          <w:sz w:val="24"/>
        </w:rPr>
      </w:pPr>
      <w:bookmarkStart w:id="18" w:name="OLE_LINK31"/>
      <w:r>
        <w:rPr>
          <w:rFonts w:hint="eastAsia"/>
          <w:sz w:val="24"/>
        </w:rPr>
        <w:t>3.3.</w:t>
      </w:r>
      <w:bookmarkEnd w:id="18"/>
      <w:r>
        <w:rPr>
          <w:rFonts w:hint="eastAsia"/>
          <w:sz w:val="24"/>
        </w:rPr>
        <w:t xml:space="preserve">5功率控制模块波长适用1030nm、515nm、343nm，调节方式电动，功率调节范围1%-95%。 </w:t>
      </w:r>
    </w:p>
    <w:p w14:paraId="52F6A074">
      <w:pPr>
        <w:spacing w:line="360" w:lineRule="auto"/>
        <w:rPr>
          <w:sz w:val="24"/>
        </w:rPr>
      </w:pPr>
      <w:r>
        <w:rPr>
          <w:rFonts w:hint="eastAsia"/>
          <w:sz w:val="24"/>
        </w:rPr>
        <w:t>3.3.6扩束模块波长适用1030nm、515nm、343nm，放大倍率≥2倍。</w:t>
      </w:r>
    </w:p>
    <w:p w14:paraId="5A767561">
      <w:pPr>
        <w:spacing w:line="360" w:lineRule="auto"/>
        <w:rPr>
          <w:sz w:val="24"/>
        </w:rPr>
      </w:pPr>
      <w:r>
        <w:rPr>
          <w:rFonts w:hint="eastAsia"/>
          <w:sz w:val="24"/>
        </w:rPr>
        <w:t>3.3.7具备电动调节偏振功能，1/4波片具备圆偏和线偏的切换功能。</w:t>
      </w:r>
    </w:p>
    <w:p w14:paraId="0D81F204">
      <w:pPr>
        <w:spacing w:line="360" w:lineRule="auto"/>
        <w:rPr>
          <w:sz w:val="24"/>
        </w:rPr>
      </w:pPr>
    </w:p>
    <w:p w14:paraId="4D2E4CE2">
      <w:pPr>
        <w:spacing w:line="360" w:lineRule="auto"/>
        <w:rPr>
          <w:b/>
          <w:bCs/>
          <w:sz w:val="24"/>
        </w:rPr>
      </w:pPr>
      <w:r>
        <w:rPr>
          <w:rFonts w:hint="eastAsia"/>
          <w:b/>
          <w:bCs/>
          <w:sz w:val="24"/>
        </w:rPr>
        <w:t>#3.4、空间光调制器</w:t>
      </w:r>
    </w:p>
    <w:p w14:paraId="0448543F">
      <w:pPr>
        <w:spacing w:line="360" w:lineRule="auto"/>
        <w:rPr>
          <w:sz w:val="24"/>
        </w:rPr>
      </w:pPr>
      <w:r>
        <w:rPr>
          <w:rFonts w:hint="eastAsia"/>
          <w:sz w:val="24"/>
        </w:rPr>
        <w:t>波长：510±50nm，DVI信号格式1280×1024pixel。</w:t>
      </w:r>
    </w:p>
    <w:p w14:paraId="65D495B4">
      <w:pPr>
        <w:spacing w:line="360" w:lineRule="auto"/>
        <w:rPr>
          <w:b/>
          <w:bCs/>
          <w:sz w:val="24"/>
        </w:rPr>
      </w:pPr>
      <w:r>
        <w:rPr>
          <w:rFonts w:hint="eastAsia"/>
          <w:b/>
          <w:bCs/>
          <w:sz w:val="24"/>
        </w:rPr>
        <w:t>3.5、</w:t>
      </w:r>
      <w:r>
        <w:rPr>
          <w:b/>
          <w:bCs/>
          <w:sz w:val="24"/>
        </w:rPr>
        <w:t>机器视觉系统</w:t>
      </w:r>
      <w:r>
        <w:rPr>
          <w:rFonts w:hint="eastAsia"/>
          <w:b/>
          <w:bCs/>
          <w:sz w:val="24"/>
        </w:rPr>
        <w:t>：</w:t>
      </w:r>
    </w:p>
    <w:p w14:paraId="6AEA36CF">
      <w:pPr>
        <w:spacing w:line="360" w:lineRule="auto"/>
        <w:rPr>
          <w:sz w:val="24"/>
        </w:rPr>
      </w:pPr>
      <w:r>
        <w:rPr>
          <w:rFonts w:hint="eastAsia"/>
          <w:sz w:val="24"/>
        </w:rPr>
        <w:t>3.5.1单光子相机监控模块。</w:t>
      </w:r>
    </w:p>
    <w:p w14:paraId="295A9335">
      <w:pPr>
        <w:spacing w:line="360" w:lineRule="auto"/>
        <w:rPr>
          <w:rFonts w:hint="eastAsia"/>
          <w:sz w:val="24"/>
        </w:rPr>
      </w:pPr>
      <w:r>
        <w:rPr>
          <w:rFonts w:hint="eastAsia"/>
          <w:sz w:val="24"/>
        </w:rPr>
        <w:t>3.5.1.1波段范围：400-900nm。</w:t>
      </w:r>
    </w:p>
    <w:p w14:paraId="12CE22A9">
      <w:pPr>
        <w:spacing w:line="360" w:lineRule="auto"/>
        <w:rPr>
          <w:rFonts w:hint="eastAsia"/>
          <w:sz w:val="24"/>
        </w:rPr>
      </w:pPr>
      <w:r>
        <w:rPr>
          <w:rFonts w:hint="eastAsia"/>
          <w:sz w:val="24"/>
        </w:rPr>
        <w:t>3.5.1.2芯片类型：全局快门。</w:t>
      </w:r>
    </w:p>
    <w:p w14:paraId="09146F09">
      <w:pPr>
        <w:spacing w:line="360" w:lineRule="auto"/>
        <w:rPr>
          <w:rFonts w:hint="eastAsia"/>
          <w:sz w:val="24"/>
        </w:rPr>
      </w:pPr>
      <w:r>
        <w:rPr>
          <w:rFonts w:hint="eastAsia"/>
          <w:sz w:val="24"/>
        </w:rPr>
        <w:t>3.5.1.3工作模式：单光子计数成像，皮秒门控成像（连续、内触发、外触发、随机触发），纵向累加光谱成像。</w:t>
      </w:r>
    </w:p>
    <w:p w14:paraId="6FF4643D">
      <w:pPr>
        <w:spacing w:line="360" w:lineRule="auto"/>
        <w:rPr>
          <w:rFonts w:hint="eastAsia"/>
          <w:sz w:val="24"/>
        </w:rPr>
      </w:pPr>
      <w:r>
        <w:rPr>
          <w:rFonts w:hint="eastAsia"/>
          <w:sz w:val="24"/>
        </w:rPr>
        <w:t>3.5.1.4分辨率：1600*1088  。</w:t>
      </w:r>
    </w:p>
    <w:p w14:paraId="0DB66C4D">
      <w:pPr>
        <w:spacing w:line="360" w:lineRule="auto"/>
        <w:rPr>
          <w:rFonts w:hint="eastAsia"/>
          <w:sz w:val="24"/>
        </w:rPr>
      </w:pPr>
      <w:r>
        <w:rPr>
          <w:rFonts w:hint="eastAsia"/>
          <w:sz w:val="24"/>
        </w:rPr>
        <w:t>3.5.1.5像素尺寸：9um。</w:t>
      </w:r>
    </w:p>
    <w:p w14:paraId="2A658E6E">
      <w:pPr>
        <w:spacing w:line="360" w:lineRule="auto"/>
        <w:rPr>
          <w:rFonts w:hint="eastAsia"/>
          <w:sz w:val="24"/>
        </w:rPr>
      </w:pPr>
      <w:r>
        <w:rPr>
          <w:rFonts w:hint="eastAsia"/>
          <w:sz w:val="24"/>
        </w:rPr>
        <w:t>3.5.1.6探测面积：14.4mm*9.79mm。</w:t>
      </w:r>
    </w:p>
    <w:p w14:paraId="1515DE3E">
      <w:pPr>
        <w:spacing w:line="360" w:lineRule="auto"/>
        <w:rPr>
          <w:rFonts w:hint="eastAsia"/>
          <w:sz w:val="24"/>
        </w:rPr>
      </w:pPr>
      <w:r>
        <w:rPr>
          <w:rFonts w:hint="eastAsia"/>
          <w:sz w:val="24"/>
        </w:rPr>
        <w:t>3.5.1.7ADC：12bit。</w:t>
      </w:r>
    </w:p>
    <w:p w14:paraId="02FBA08E">
      <w:pPr>
        <w:spacing w:line="360" w:lineRule="auto"/>
        <w:rPr>
          <w:rFonts w:hint="eastAsia"/>
          <w:sz w:val="24"/>
        </w:rPr>
      </w:pPr>
      <w:r>
        <w:rPr>
          <w:rFonts w:hint="eastAsia"/>
          <w:sz w:val="24"/>
        </w:rPr>
        <w:t>★3.5.1.8最短光学快门≤500ps。</w:t>
      </w:r>
    </w:p>
    <w:p w14:paraId="0A4B2BA0">
      <w:pPr>
        <w:spacing w:line="360" w:lineRule="auto"/>
        <w:rPr>
          <w:rFonts w:hint="eastAsia"/>
          <w:sz w:val="24"/>
        </w:rPr>
      </w:pPr>
      <w:r>
        <w:rPr>
          <w:rFonts w:hint="eastAsia"/>
          <w:sz w:val="24"/>
        </w:rPr>
        <w:t>3.5.1.9帧速：＞93fps@1600*1088。</w:t>
      </w:r>
    </w:p>
    <w:p w14:paraId="00D549E9">
      <w:pPr>
        <w:spacing w:line="360" w:lineRule="auto"/>
        <w:rPr>
          <w:rFonts w:hint="eastAsia"/>
          <w:sz w:val="24"/>
        </w:rPr>
      </w:pPr>
      <w:r>
        <w:rPr>
          <w:rFonts w:hint="eastAsia"/>
          <w:sz w:val="24"/>
        </w:rPr>
        <w:t>3.5.1.10光阴极量子效率：＞33%@600-850nm。</w:t>
      </w:r>
    </w:p>
    <w:p w14:paraId="11811D45">
      <w:pPr>
        <w:spacing w:line="360" w:lineRule="auto"/>
        <w:rPr>
          <w:rFonts w:hint="eastAsia"/>
          <w:sz w:val="24"/>
        </w:rPr>
      </w:pPr>
      <w:r>
        <w:rPr>
          <w:rFonts w:hint="eastAsia"/>
          <w:sz w:val="24"/>
        </w:rPr>
        <w:t>3.5.1.11荧光屏：P43。</w:t>
      </w:r>
    </w:p>
    <w:p w14:paraId="214C9C0A">
      <w:pPr>
        <w:spacing w:line="360" w:lineRule="auto"/>
        <w:rPr>
          <w:rFonts w:hint="eastAsia"/>
          <w:sz w:val="24"/>
        </w:rPr>
      </w:pPr>
      <w:r>
        <w:rPr>
          <w:rFonts w:hint="eastAsia"/>
          <w:sz w:val="24"/>
        </w:rPr>
        <w:t>3.5.1.12最大快门重复频率：500KHz。</w:t>
      </w:r>
    </w:p>
    <w:p w14:paraId="130AFE00">
      <w:pPr>
        <w:spacing w:line="360" w:lineRule="auto"/>
        <w:rPr>
          <w:rFonts w:hint="eastAsia"/>
          <w:sz w:val="24"/>
        </w:rPr>
      </w:pPr>
      <w:r>
        <w:rPr>
          <w:rFonts w:hint="eastAsia"/>
          <w:sz w:val="24"/>
        </w:rPr>
        <w:t>3.5.1.13触发抖动&lt;35ps。</w:t>
      </w:r>
    </w:p>
    <w:p w14:paraId="27BF0983">
      <w:pPr>
        <w:spacing w:line="360" w:lineRule="auto"/>
        <w:rPr>
          <w:rFonts w:hint="eastAsia"/>
          <w:sz w:val="24"/>
        </w:rPr>
      </w:pPr>
      <w:r>
        <w:rPr>
          <w:rFonts w:hint="eastAsia"/>
          <w:sz w:val="24"/>
        </w:rPr>
        <w:t>3.5.1.14同步触发输出：A、B、C三通道；输出幅值5V，内阻50欧；输出脉冲宽度2ns-10s，最小调整步距10ps。</w:t>
      </w:r>
    </w:p>
    <w:p w14:paraId="66DCB350">
      <w:pPr>
        <w:spacing w:line="360" w:lineRule="auto"/>
        <w:rPr>
          <w:rFonts w:hint="eastAsia"/>
          <w:sz w:val="24"/>
        </w:rPr>
      </w:pPr>
      <w:r>
        <w:rPr>
          <w:rFonts w:hint="eastAsia"/>
          <w:sz w:val="24"/>
        </w:rPr>
        <w:t>3.5.1.15同步触发输入：最大触发频率125MHz，支持任意分频；触发阈值0.3V-3.3V可设置；输入阻抗50欧/10K欧可设置。</w:t>
      </w:r>
    </w:p>
    <w:p w14:paraId="15260AE0">
      <w:pPr>
        <w:spacing w:line="360" w:lineRule="auto"/>
        <w:rPr>
          <w:sz w:val="24"/>
        </w:rPr>
      </w:pPr>
      <w:r>
        <w:rPr>
          <w:rFonts w:hint="eastAsia"/>
          <w:sz w:val="24"/>
        </w:rPr>
        <w:t>3.5.1.16通讯接口：USB3.0。</w:t>
      </w:r>
    </w:p>
    <w:p w14:paraId="65335D48">
      <w:pPr>
        <w:spacing w:line="360" w:lineRule="auto"/>
        <w:rPr>
          <w:sz w:val="24"/>
        </w:rPr>
      </w:pPr>
      <w:r>
        <w:rPr>
          <w:rFonts w:hint="eastAsia"/>
          <w:sz w:val="24"/>
        </w:rPr>
        <w:t>3.5.2成像模块</w:t>
      </w:r>
    </w:p>
    <w:p w14:paraId="278009A9">
      <w:pPr>
        <w:spacing w:line="360" w:lineRule="auto"/>
        <w:rPr>
          <w:sz w:val="24"/>
        </w:rPr>
      </w:pPr>
      <w:r>
        <w:rPr>
          <w:rFonts w:hint="eastAsia"/>
          <w:sz w:val="24"/>
        </w:rPr>
        <w:t>具备自动聚焦功能、加工过程实时可见，像素≥500万，底部+同轴LED照明，分辨率≤1μm（取决于物镜倍率）。</w:t>
      </w:r>
    </w:p>
    <w:p w14:paraId="75FF681E">
      <w:pPr>
        <w:spacing w:line="360" w:lineRule="auto"/>
        <w:rPr>
          <w:b/>
          <w:bCs/>
          <w:sz w:val="24"/>
        </w:rPr>
      </w:pPr>
      <w:bookmarkStart w:id="19" w:name="OLE_LINK6"/>
      <w:r>
        <w:rPr>
          <w:rFonts w:hint="eastAsia"/>
          <w:sz w:val="24"/>
        </w:rPr>
        <w:t>★</w:t>
      </w:r>
      <w:bookmarkEnd w:id="19"/>
      <w:r>
        <w:rPr>
          <w:rFonts w:hint="eastAsia"/>
          <w:b/>
          <w:bCs/>
          <w:sz w:val="24"/>
        </w:rPr>
        <w:t>3.6、偏振快速控制模块：</w:t>
      </w:r>
    </w:p>
    <w:p w14:paraId="624A2AED">
      <w:pPr>
        <w:spacing w:line="360" w:lineRule="auto"/>
        <w:rPr>
          <w:sz w:val="24"/>
        </w:rPr>
      </w:pPr>
      <w:r>
        <w:rPr>
          <w:rFonts w:hint="eastAsia"/>
          <w:sz w:val="24"/>
        </w:rPr>
        <w:t>电光调制器工作波长1030±5nm，电光调制速率≥10KHz，调制器电光晶体材料RTP，水平偏振到竖直偏振连续调制（投标人需提供相关光路实物图证明）。</w:t>
      </w:r>
    </w:p>
    <w:p w14:paraId="525DB2D1">
      <w:pPr>
        <w:spacing w:line="360" w:lineRule="auto"/>
        <w:rPr>
          <w:b/>
          <w:bCs/>
          <w:sz w:val="24"/>
        </w:rPr>
      </w:pPr>
      <w:r>
        <w:rPr>
          <w:rFonts w:hint="eastAsia"/>
          <w:b/>
          <w:bCs/>
          <w:sz w:val="24"/>
        </w:rPr>
        <w:t>3.7、加工头及辅助系统：</w:t>
      </w:r>
    </w:p>
    <w:p w14:paraId="6FA1EB44">
      <w:pPr>
        <w:spacing w:line="360" w:lineRule="auto"/>
        <w:rPr>
          <w:sz w:val="24"/>
        </w:rPr>
      </w:pPr>
      <w:r>
        <w:rPr>
          <w:rFonts w:hint="eastAsia"/>
          <w:sz w:val="24"/>
        </w:rPr>
        <w:t>#3.7.1物镜包括1个10X、0.4NA（1030、515nm共用）、1个20X、0.4NA（1030、515nm共用）、</w:t>
      </w:r>
      <w:r>
        <w:rPr>
          <w:rFonts w:hint="eastAsia" w:ascii="宋体" w:hAnsi="宋体" w:cs="宋体"/>
          <w:sz w:val="24"/>
        </w:rPr>
        <w:t xml:space="preserve"> </w:t>
      </w:r>
      <w:r>
        <w:rPr>
          <w:rFonts w:hint="eastAsia"/>
          <w:sz w:val="24"/>
        </w:rPr>
        <w:t>1个50X、0.42NA（1030、515nm共用）、</w:t>
      </w:r>
      <w:r>
        <w:rPr>
          <w:rFonts w:hint="eastAsia" w:ascii="宋体" w:hAnsi="宋体" w:cs="宋体"/>
          <w:sz w:val="24"/>
        </w:rPr>
        <w:t xml:space="preserve"> </w:t>
      </w:r>
      <w:r>
        <w:rPr>
          <w:rFonts w:hint="eastAsia"/>
          <w:sz w:val="24"/>
        </w:rPr>
        <w:t>1个100X、0.7NA（1030、515nm共用）、1个20X、0.42NA（343、515nm共用），配备齐焦转接件，配备非球面镜1个0.64NA（343nm），油镜1个63X、1.4NA(1030nm、515nm共用)。</w:t>
      </w:r>
    </w:p>
    <w:p w14:paraId="31CB8CC2">
      <w:pPr>
        <w:spacing w:line="360" w:lineRule="auto"/>
        <w:rPr>
          <w:sz w:val="24"/>
        </w:rPr>
      </w:pPr>
      <w:bookmarkStart w:id="20" w:name="OLE_LINK34"/>
      <w:r>
        <w:rPr>
          <w:rFonts w:hint="eastAsia"/>
          <w:sz w:val="24"/>
        </w:rPr>
        <w:t>3.7.2</w:t>
      </w:r>
      <w:bookmarkEnd w:id="20"/>
      <w:r>
        <w:rPr>
          <w:rFonts w:hint="eastAsia"/>
          <w:sz w:val="24"/>
        </w:rPr>
        <w:t>真空吸附台吸力可调，台面尺寸≥100x100mm，具备3维度小角度倾角调平功能，配备真空泵及管道。具备光纤夹持功能，光纤各自由度可调。</w:t>
      </w:r>
    </w:p>
    <w:p w14:paraId="68E3CE75">
      <w:pPr>
        <w:spacing w:line="360" w:lineRule="auto"/>
        <w:rPr>
          <w:sz w:val="24"/>
        </w:rPr>
      </w:pPr>
      <w:r>
        <w:rPr>
          <w:rFonts w:hint="eastAsia"/>
          <w:sz w:val="24"/>
        </w:rPr>
        <w:t>3.7.3设备配置吹气和除尘系统，具备样品碎屑吸附能力，噪音＜60dB。</w:t>
      </w:r>
    </w:p>
    <w:p w14:paraId="0674527F">
      <w:pPr>
        <w:spacing w:line="360" w:lineRule="auto"/>
        <w:rPr>
          <w:sz w:val="24"/>
        </w:rPr>
      </w:pPr>
    </w:p>
    <w:p w14:paraId="378D8C82">
      <w:pPr>
        <w:spacing w:line="360" w:lineRule="auto"/>
        <w:rPr>
          <w:b/>
          <w:bCs/>
          <w:sz w:val="24"/>
        </w:rPr>
      </w:pPr>
      <w:bookmarkStart w:id="21" w:name="OLE_LINK33"/>
      <w:r>
        <w:rPr>
          <w:rFonts w:hint="eastAsia"/>
          <w:b/>
          <w:bCs/>
          <w:sz w:val="24"/>
        </w:rPr>
        <w:t>3.8、控制系统功能描述</w:t>
      </w:r>
    </w:p>
    <w:bookmarkEnd w:id="21"/>
    <w:p w14:paraId="4C541DCF">
      <w:pPr>
        <w:spacing w:line="360" w:lineRule="auto"/>
        <w:rPr>
          <w:sz w:val="24"/>
        </w:rPr>
      </w:pPr>
      <w:bookmarkStart w:id="22" w:name="OLE_LINK35"/>
      <w:r>
        <w:rPr>
          <w:rFonts w:hint="eastAsia"/>
          <w:b/>
          <w:bCs/>
          <w:sz w:val="24"/>
        </w:rPr>
        <w:t>#</w:t>
      </w:r>
      <w:r>
        <w:rPr>
          <w:rFonts w:hint="eastAsia"/>
          <w:sz w:val="24"/>
        </w:rPr>
        <w:t>3.8.1</w:t>
      </w:r>
      <w:bookmarkEnd w:id="22"/>
      <w:r>
        <w:rPr>
          <w:rFonts w:hint="eastAsia"/>
          <w:sz w:val="24"/>
        </w:rPr>
        <w:t>中断驱动型安全互锁控制，采用硬件级中断响应机制，实现微秒级安全互锁，确保急停（E-Stop）及关键保护动作的快速执行。</w:t>
      </w:r>
    </w:p>
    <w:p w14:paraId="52086C15">
      <w:pPr>
        <w:spacing w:line="360" w:lineRule="auto"/>
        <w:rPr>
          <w:sz w:val="24"/>
        </w:rPr>
      </w:pPr>
      <w:r>
        <w:rPr>
          <w:rFonts w:hint="eastAsia"/>
          <w:sz w:val="24"/>
        </w:rPr>
        <w:t>3.8.2分级LED状态指示与报警系统，电源接通后LED常亮，激光发射LED常亮 ，手动调试LED闪烁，伺服控制器使能LED常亮，一级预警LED常亮，LED闪烁，并伴随1kHz脉冲音报警。</w:t>
      </w:r>
    </w:p>
    <w:p w14:paraId="28275253">
      <w:pPr>
        <w:spacing w:line="360" w:lineRule="auto"/>
        <w:rPr>
          <w:sz w:val="24"/>
        </w:rPr>
      </w:pPr>
      <w:r>
        <w:rPr>
          <w:rFonts w:hint="eastAsia"/>
          <w:sz w:val="24"/>
        </w:rPr>
        <w:t xml:space="preserve">3.8.3智能电源管理模块采用固态继电器（SSR）控制，支持远程静音模式下的安全断电，并反馈电源状态至监控系统。  </w:t>
      </w:r>
    </w:p>
    <w:p w14:paraId="078DF4D3">
      <w:pPr>
        <w:spacing w:line="360" w:lineRule="auto"/>
        <w:rPr>
          <w:sz w:val="24"/>
        </w:rPr>
      </w:pPr>
      <w:r>
        <w:rPr>
          <w:rFonts w:hint="eastAsia"/>
          <w:sz w:val="24"/>
        </w:rPr>
        <w:t>3.8.4程序安全保护，具备POU（程序组织单元）密码保护功能，配备双显示。</w:t>
      </w:r>
    </w:p>
    <w:p w14:paraId="573AB2C9">
      <w:pPr>
        <w:spacing w:line="360" w:lineRule="auto"/>
        <w:rPr>
          <w:b/>
          <w:bCs/>
          <w:sz w:val="24"/>
        </w:rPr>
      </w:pPr>
      <w:r>
        <w:rPr>
          <w:rFonts w:hint="eastAsia"/>
          <w:b/>
          <w:bCs/>
          <w:sz w:val="24"/>
        </w:rPr>
        <w:t>3.9、整机结构</w:t>
      </w:r>
    </w:p>
    <w:p w14:paraId="01E9BB4A">
      <w:pPr>
        <w:spacing w:line="360" w:lineRule="auto"/>
        <w:rPr>
          <w:sz w:val="24"/>
        </w:rPr>
      </w:pPr>
      <w:r>
        <w:rPr>
          <w:rFonts w:hint="eastAsia"/>
          <w:sz w:val="24"/>
        </w:rPr>
        <w:t>3.9.1大理石龙门架构，XY气浮位移台硬件直接安装在大理石上，不能采用转接板转接，大理石龙门架上端固定光学面包板，光路及激光器固定在面包板上，确保光源、位移台、激光器三者与大理石龙门架为一个统一的共振体。</w:t>
      </w:r>
    </w:p>
    <w:p w14:paraId="7EC2B96E">
      <w:pPr>
        <w:spacing w:line="360" w:lineRule="auto"/>
        <w:rPr>
          <w:sz w:val="24"/>
        </w:rPr>
      </w:pPr>
      <w:bookmarkStart w:id="23" w:name="OLE_LINK37"/>
      <w:r>
        <w:rPr>
          <w:rFonts w:hint="eastAsia"/>
          <w:sz w:val="24"/>
        </w:rPr>
        <w:t>3.9.</w:t>
      </w:r>
      <w:bookmarkEnd w:id="23"/>
      <w:r>
        <w:rPr>
          <w:rFonts w:hint="eastAsia"/>
          <w:sz w:val="24"/>
        </w:rPr>
        <w:t>2独立集成的电气柜，集成激光器水冷机、位移台控制器、工业主机。</w:t>
      </w:r>
    </w:p>
    <w:p w14:paraId="0F50AFF8">
      <w:pPr>
        <w:spacing w:line="360" w:lineRule="auto"/>
        <w:rPr>
          <w:sz w:val="24"/>
        </w:rPr>
      </w:pPr>
      <w:r>
        <w:rPr>
          <w:rFonts w:hint="eastAsia"/>
          <w:sz w:val="24"/>
        </w:rPr>
        <w:t>3.9.3设备带防护外壳，且防护门可自由活动及锁定，正面外壳带安全观察窗，带激光安全警示标志，具备应急急停按钮，配备相应激光波长的防护镜（OD5+）。</w:t>
      </w:r>
    </w:p>
    <w:p w14:paraId="257B8301">
      <w:pPr>
        <w:spacing w:line="360" w:lineRule="auto"/>
        <w:rPr>
          <w:sz w:val="24"/>
        </w:rPr>
      </w:pPr>
      <w:r>
        <w:rPr>
          <w:rFonts w:hint="eastAsia"/>
          <w:sz w:val="24"/>
        </w:rPr>
        <w:t>3.9.4 配备气浮光学平台3000*1500mm，垂直1.5Hz，水平1.8Hz，高度800mm。</w:t>
      </w:r>
    </w:p>
    <w:p w14:paraId="0E5D82E6">
      <w:pPr>
        <w:spacing w:line="360" w:lineRule="auto"/>
        <w:rPr>
          <w:b/>
          <w:bCs/>
          <w:sz w:val="24"/>
        </w:rPr>
      </w:pPr>
      <w:r>
        <w:rPr>
          <w:rFonts w:hint="eastAsia"/>
          <w:b/>
          <w:bCs/>
          <w:sz w:val="24"/>
        </w:rPr>
        <w:t>3.10、软件功能：</w:t>
      </w:r>
    </w:p>
    <w:p w14:paraId="34737A9C">
      <w:pPr>
        <w:spacing w:line="360" w:lineRule="auto"/>
        <w:rPr>
          <w:sz w:val="24"/>
        </w:rPr>
      </w:pPr>
      <w:r>
        <w:rPr>
          <w:rFonts w:hint="eastAsia"/>
          <w:sz w:val="24"/>
        </w:rPr>
        <w:t>★3.10.1支持STL、STP、IGES文件导入激光加工软件，切片和STL文件，转换为2.5D数据，以通过图层加工进行图层。可将2D图案贴图至圆锥、圆柱表面加工。支持振镜与位移台实现IFOV功能。</w:t>
      </w:r>
    </w:p>
    <w:p w14:paraId="4D339055">
      <w:pPr>
        <w:spacing w:line="360" w:lineRule="auto"/>
        <w:rPr>
          <w:sz w:val="24"/>
        </w:rPr>
      </w:pPr>
      <w:r>
        <w:rPr>
          <w:rFonts w:hint="eastAsia"/>
          <w:sz w:val="24"/>
        </w:rPr>
        <w:t>3.10.2电控硬件调节</w:t>
      </w:r>
      <w:bookmarkStart w:id="24" w:name="OLE_LINK40"/>
      <w:r>
        <w:rPr>
          <w:rFonts w:hint="eastAsia"/>
          <w:sz w:val="24"/>
        </w:rPr>
        <w:t>：</w:t>
      </w:r>
      <w:bookmarkEnd w:id="24"/>
      <w:r>
        <w:rPr>
          <w:rFonts w:hint="eastAsia"/>
          <w:sz w:val="24"/>
        </w:rPr>
        <w:t>包括激光器参数控制，能量视觉系统调控，三维移动台控制等。</w:t>
      </w:r>
    </w:p>
    <w:p w14:paraId="4E34E8AA">
      <w:pPr>
        <w:spacing w:line="360" w:lineRule="auto"/>
        <w:rPr>
          <w:sz w:val="24"/>
        </w:rPr>
      </w:pPr>
      <w:bookmarkStart w:id="25" w:name="OLE_LINK41"/>
      <w:r>
        <w:rPr>
          <w:rFonts w:hint="eastAsia"/>
          <w:sz w:val="24"/>
        </w:rPr>
        <w:t>3.10.</w:t>
      </w:r>
      <w:bookmarkEnd w:id="25"/>
      <w:r>
        <w:rPr>
          <w:rFonts w:hint="eastAsia"/>
          <w:sz w:val="24"/>
        </w:rPr>
        <w:t>3 3D激光加工软件：支持二维三维加工，支持XYZ三轴PSO。</w:t>
      </w:r>
    </w:p>
    <w:p w14:paraId="5ECEAF27">
      <w:pPr>
        <w:spacing w:line="360" w:lineRule="auto"/>
        <w:rPr>
          <w:sz w:val="24"/>
        </w:rPr>
      </w:pPr>
      <w:r>
        <w:rPr>
          <w:rFonts w:hint="eastAsia"/>
          <w:sz w:val="24"/>
        </w:rPr>
        <w:t>3.10.4支持格式</w:t>
      </w:r>
      <w:bookmarkStart w:id="26" w:name="OLE_LINK12"/>
      <w:r>
        <w:rPr>
          <w:rFonts w:hint="eastAsia"/>
          <w:sz w:val="24"/>
        </w:rPr>
        <w:t>，支持NC、Gerber、NC Drill文件导入，TXT等数据文本</w:t>
      </w:r>
      <w:bookmarkEnd w:id="26"/>
      <w:r>
        <w:rPr>
          <w:rFonts w:hint="eastAsia"/>
          <w:sz w:val="24"/>
        </w:rPr>
        <w:t>，支持BMP、PNG、JPG等图片格式导入，支持DXF、DWG、STL、STP</w:t>
      </w:r>
      <w:bookmarkStart w:id="27" w:name="OLE_LINK11"/>
      <w:r>
        <w:rPr>
          <w:rFonts w:hint="eastAsia"/>
          <w:sz w:val="24"/>
        </w:rPr>
        <w:t>、</w:t>
      </w:r>
      <w:bookmarkEnd w:id="27"/>
      <w:r>
        <w:rPr>
          <w:rFonts w:hint="eastAsia"/>
          <w:sz w:val="24"/>
        </w:rPr>
        <w:t>IGES文件导入，准备激光切割，蚀刻，消融和其他2D，2.5D应用程序，支持函数加工。</w:t>
      </w:r>
    </w:p>
    <w:p w14:paraId="3A224C80">
      <w:pPr>
        <w:spacing w:line="360" w:lineRule="auto"/>
        <w:rPr>
          <w:sz w:val="24"/>
        </w:rPr>
      </w:pPr>
      <w:bookmarkStart w:id="28" w:name="OLE_LINK43"/>
      <w:r>
        <w:rPr>
          <w:rFonts w:hint="eastAsia"/>
          <w:sz w:val="24"/>
        </w:rPr>
        <w:t>3.10.</w:t>
      </w:r>
      <w:bookmarkEnd w:id="28"/>
      <w:r>
        <w:rPr>
          <w:rFonts w:hint="eastAsia"/>
          <w:sz w:val="24"/>
        </w:rPr>
        <w:t>5自带绘图工具，可以手动绘制线、圆、弧和矩形等图形，调整工具参数可改变图形的大小和位置，每个图形、图形组合以及整个加工文件的运动速度和激光参数都可以定义和控制。</w:t>
      </w:r>
    </w:p>
    <w:p w14:paraId="50DDA277">
      <w:pPr>
        <w:spacing w:line="360" w:lineRule="auto"/>
        <w:rPr>
          <w:sz w:val="24"/>
        </w:rPr>
      </w:pPr>
      <w:bookmarkStart w:id="29" w:name="OLE_LINK44"/>
      <w:r>
        <w:rPr>
          <w:rFonts w:hint="eastAsia"/>
          <w:sz w:val="24"/>
        </w:rPr>
        <w:t>3.10.</w:t>
      </w:r>
      <w:bookmarkEnd w:id="29"/>
      <w:r>
        <w:rPr>
          <w:rFonts w:hint="eastAsia"/>
          <w:sz w:val="24"/>
        </w:rPr>
        <w:t>6带有封闭轮廓的导入或绘制对象都可以在激光加工软件中进行转化、缩放、旋转、和填充。可自动旋转、移动图像，实现样品坐标和加工文件坐标的对准。</w:t>
      </w:r>
    </w:p>
    <w:p w14:paraId="61AE9282">
      <w:pPr>
        <w:spacing w:line="360" w:lineRule="auto"/>
        <w:rPr>
          <w:sz w:val="24"/>
        </w:rPr>
      </w:pPr>
      <w:bookmarkStart w:id="30" w:name="OLE_LINK45"/>
      <w:r>
        <w:rPr>
          <w:rFonts w:hint="eastAsia"/>
          <w:sz w:val="24"/>
        </w:rPr>
        <w:t>3.10.</w:t>
      </w:r>
      <w:bookmarkEnd w:id="30"/>
      <w:r>
        <w:rPr>
          <w:rFonts w:hint="eastAsia"/>
          <w:sz w:val="24"/>
        </w:rPr>
        <w:t>7内置视图自动拼接功能（客户需要具备振镜）</w:t>
      </w:r>
    </w:p>
    <w:p w14:paraId="013778EC">
      <w:pPr>
        <w:spacing w:line="360" w:lineRule="auto"/>
        <w:rPr>
          <w:sz w:val="24"/>
        </w:rPr>
      </w:pPr>
      <w:r>
        <w:rPr>
          <w:rFonts w:hint="eastAsia"/>
          <w:sz w:val="24"/>
        </w:rPr>
        <w:t>3.10.8可进行线性、角度等几何要素测量。</w:t>
      </w:r>
    </w:p>
    <w:p w14:paraId="4826943B">
      <w:pPr>
        <w:spacing w:line="360" w:lineRule="auto"/>
        <w:rPr>
          <w:sz w:val="24"/>
        </w:rPr>
      </w:pPr>
      <w:r>
        <w:rPr>
          <w:rFonts w:hint="eastAsia"/>
          <w:sz w:val="24"/>
        </w:rPr>
        <w:t>3.10.9支持缩放比例功能，支持加工起始点选择功能。</w:t>
      </w:r>
    </w:p>
    <w:p w14:paraId="0B117281">
      <w:pPr>
        <w:spacing w:line="360" w:lineRule="auto"/>
        <w:rPr>
          <w:sz w:val="24"/>
        </w:rPr>
      </w:pPr>
    </w:p>
    <w:p w14:paraId="3762805A">
      <w:pPr>
        <w:spacing w:line="360" w:lineRule="auto"/>
        <w:rPr>
          <w:b/>
          <w:bCs/>
          <w:sz w:val="24"/>
        </w:rPr>
      </w:pPr>
      <w:r>
        <w:rPr>
          <w:rFonts w:hint="eastAsia"/>
          <w:b/>
          <w:bCs/>
          <w:sz w:val="24"/>
        </w:rPr>
        <w:t>3.11、配备</w:t>
      </w:r>
      <w:r>
        <w:rPr>
          <w:b/>
          <w:bCs/>
          <w:sz w:val="24"/>
        </w:rPr>
        <w:t>工具箱和防护眼镜</w:t>
      </w:r>
      <w:r>
        <w:rPr>
          <w:rFonts w:hint="eastAsia"/>
          <w:b/>
          <w:bCs/>
          <w:sz w:val="24"/>
        </w:rPr>
        <w:t>。</w:t>
      </w:r>
    </w:p>
    <w:p w14:paraId="58E2CD18">
      <w:pPr>
        <w:spacing w:line="360" w:lineRule="auto"/>
        <w:rPr>
          <w:b/>
          <w:bCs/>
          <w:sz w:val="24"/>
        </w:rPr>
      </w:pPr>
      <w:r>
        <w:rPr>
          <w:rFonts w:hint="eastAsia"/>
          <w:b/>
          <w:bCs/>
          <w:sz w:val="24"/>
        </w:rPr>
        <w:t>3.12、设备功能：</w:t>
      </w:r>
    </w:p>
    <w:p w14:paraId="0FE2E7BD">
      <w:pPr>
        <w:spacing w:line="360" w:lineRule="auto"/>
        <w:rPr>
          <w:sz w:val="24"/>
        </w:rPr>
      </w:pPr>
      <w:r>
        <w:rPr>
          <w:rFonts w:hint="eastAsia"/>
          <w:sz w:val="24"/>
        </w:rPr>
        <w:t>#3.12.1具备</w:t>
      </w:r>
      <w:r>
        <w:rPr>
          <w:sz w:val="24"/>
        </w:rPr>
        <w:t>飞秒激光FBG刻写（逐点、逐线）</w:t>
      </w:r>
      <w:r>
        <w:rPr>
          <w:rFonts w:hint="eastAsia"/>
          <w:sz w:val="24"/>
        </w:rPr>
        <w:t>（提供随机散射点增强功能和工艺，提供相移和啁啾光栅功能及工艺，验收时需要现场复现）、</w:t>
      </w:r>
      <w:r>
        <w:rPr>
          <w:sz w:val="24"/>
        </w:rPr>
        <w:t>光波导加工</w:t>
      </w:r>
      <w:r>
        <w:rPr>
          <w:rFonts w:hint="eastAsia"/>
          <w:sz w:val="24"/>
        </w:rPr>
        <w:t>（验收时现场复现）、5D光存储（具备快速能量调制）、双光子聚合、343nm激光直写、玻璃激光焊接（需提供同质（玻璃与玻璃）和异质（玻璃与金属）材料的焊接工艺，交付需复现）；LIPSS激光诱导材料表面百纳米级周期性微纹理（验收时现场复现）、3D激光加工、透明材料内部加工等功能。</w:t>
      </w:r>
    </w:p>
    <w:p w14:paraId="0EE10538">
      <w:pPr>
        <w:spacing w:line="360" w:lineRule="auto"/>
        <w:rPr>
          <w:sz w:val="24"/>
        </w:rPr>
      </w:pPr>
      <w:r>
        <w:rPr>
          <w:rFonts w:hint="eastAsia"/>
          <w:sz w:val="24"/>
        </w:rPr>
        <w:t>#3.12.2提供ZnS表面加工线宽＜500nm实物图，提供金箔膜加工线宽＜220nm实物图，提供S波片实物加工伪彩图，提供激光玻璃焊接实物图。</w:t>
      </w:r>
    </w:p>
    <w:p w14:paraId="6991FABA">
      <w:pPr>
        <w:spacing w:line="360" w:lineRule="auto"/>
        <w:jc w:val="left"/>
        <w:rPr>
          <w:sz w:val="24"/>
        </w:rPr>
      </w:pPr>
    </w:p>
    <w:p w14:paraId="204C930E">
      <w:pPr>
        <w:tabs>
          <w:tab w:val="left" w:pos="540"/>
        </w:tabs>
        <w:spacing w:line="360" w:lineRule="auto"/>
        <w:rPr>
          <w:b/>
          <w:sz w:val="24"/>
        </w:rPr>
      </w:pPr>
      <w:r>
        <w:rPr>
          <w:b/>
          <w:sz w:val="24"/>
        </w:rPr>
        <w:t>4.</w:t>
      </w:r>
      <w:r>
        <w:rPr>
          <w:rFonts w:hint="eastAsia"/>
          <w:b/>
          <w:sz w:val="24"/>
        </w:rPr>
        <w:t>产品配置要求</w:t>
      </w:r>
    </w:p>
    <w:p w14:paraId="34B23FA0">
      <w:pPr>
        <w:spacing w:line="360" w:lineRule="auto"/>
        <w:rPr>
          <w:sz w:val="24"/>
        </w:rPr>
      </w:pPr>
      <w:r>
        <w:rPr>
          <w:rFonts w:hint="eastAsia"/>
          <w:sz w:val="24"/>
        </w:rPr>
        <w:t>4.1、飞秒激光微纳加工系统,1套；</w:t>
      </w:r>
    </w:p>
    <w:p w14:paraId="353FB82A">
      <w:pPr>
        <w:spacing w:line="360" w:lineRule="auto"/>
        <w:rPr>
          <w:sz w:val="24"/>
        </w:rPr>
      </w:pPr>
      <w:r>
        <w:rPr>
          <w:rFonts w:hint="eastAsia"/>
          <w:sz w:val="24"/>
        </w:rPr>
        <w:t>4.2、软件，1套；</w:t>
      </w:r>
    </w:p>
    <w:p w14:paraId="738E2136">
      <w:pPr>
        <w:spacing w:line="360" w:lineRule="auto"/>
        <w:rPr>
          <w:sz w:val="24"/>
        </w:rPr>
      </w:pPr>
      <w:r>
        <w:rPr>
          <w:rFonts w:hint="eastAsia"/>
          <w:sz w:val="24"/>
        </w:rPr>
        <w:t>4.3、全固态一体化飞秒激光器模块，1套；</w:t>
      </w:r>
    </w:p>
    <w:p w14:paraId="609E39BF">
      <w:pPr>
        <w:spacing w:line="360" w:lineRule="auto"/>
        <w:rPr>
          <w:sz w:val="24"/>
        </w:rPr>
      </w:pPr>
      <w:r>
        <w:rPr>
          <w:rFonts w:hint="eastAsia"/>
          <w:sz w:val="24"/>
        </w:rPr>
        <w:t>4.4、高精密三轴位移+两轴振镜加工平台模块，1套；</w:t>
      </w:r>
    </w:p>
    <w:p w14:paraId="6C295576">
      <w:pPr>
        <w:spacing w:line="360" w:lineRule="auto"/>
        <w:rPr>
          <w:sz w:val="24"/>
        </w:rPr>
      </w:pPr>
      <w:r>
        <w:rPr>
          <w:rFonts w:hint="eastAsia"/>
          <w:sz w:val="24"/>
        </w:rPr>
        <w:t>4.5、机器视觉系统，1套；</w:t>
      </w:r>
    </w:p>
    <w:p w14:paraId="6888F155">
      <w:pPr>
        <w:spacing w:line="360" w:lineRule="auto"/>
        <w:rPr>
          <w:rFonts w:hint="eastAsia"/>
          <w:sz w:val="24"/>
        </w:rPr>
      </w:pPr>
      <w:r>
        <w:rPr>
          <w:rFonts w:hint="eastAsia"/>
          <w:sz w:val="24"/>
        </w:rPr>
        <w:t>4.6、</w:t>
      </w:r>
      <w:r>
        <w:rPr>
          <w:sz w:val="24"/>
        </w:rPr>
        <w:t>工具箱和防护眼镜等</w:t>
      </w:r>
      <w:r>
        <w:rPr>
          <w:rFonts w:hint="eastAsia"/>
          <w:sz w:val="24"/>
        </w:rPr>
        <w:t>附件，1套。</w:t>
      </w:r>
    </w:p>
    <w:p w14:paraId="72A49170">
      <w:pPr>
        <w:spacing w:line="360" w:lineRule="auto"/>
        <w:rPr>
          <w:rFonts w:hint="eastAsia"/>
          <w:sz w:val="24"/>
          <w:highlight w:val="none"/>
        </w:rPr>
      </w:pPr>
      <w:r>
        <w:rPr>
          <w:rFonts w:hint="eastAsia"/>
          <w:sz w:val="24"/>
          <w:lang w:val="en-US" w:eastAsia="zh-CN"/>
        </w:rPr>
        <w:t>4.7、</w:t>
      </w:r>
      <w:r>
        <w:rPr>
          <w:rFonts w:hint="eastAsia"/>
          <w:sz w:val="24"/>
          <w:highlight w:val="none"/>
        </w:rPr>
        <w:t xml:space="preserve">其它保证仪器设备的正常运行和常规保养所需的附件、专用工具和消耗品。    </w:t>
      </w:r>
    </w:p>
    <w:p w14:paraId="3F48EE41">
      <w:pPr>
        <w:spacing w:line="360" w:lineRule="auto"/>
        <w:rPr>
          <w:rFonts w:hint="default" w:eastAsia="宋体"/>
          <w:sz w:val="24"/>
          <w:lang w:val="en-US" w:eastAsia="zh-CN"/>
        </w:rPr>
      </w:pPr>
    </w:p>
    <w:p w14:paraId="689F2E0E">
      <w:pPr>
        <w:tabs>
          <w:tab w:val="left" w:pos="540"/>
        </w:tabs>
        <w:spacing w:line="360" w:lineRule="auto"/>
        <w:rPr>
          <w:rFonts w:cs="宋体"/>
          <w:kern w:val="0"/>
          <w:sz w:val="24"/>
        </w:rPr>
      </w:pPr>
    </w:p>
    <w:p w14:paraId="3DB6C9AB">
      <w:pPr>
        <w:tabs>
          <w:tab w:val="left" w:pos="540"/>
        </w:tabs>
        <w:spacing w:line="360" w:lineRule="auto"/>
        <w:rPr>
          <w:b/>
          <w:sz w:val="24"/>
        </w:rPr>
      </w:pPr>
      <w:r>
        <w:rPr>
          <w:b/>
          <w:sz w:val="24"/>
        </w:rPr>
        <w:t>5.</w:t>
      </w:r>
      <w:r>
        <w:rPr>
          <w:rFonts w:hint="eastAsia"/>
          <w:b/>
          <w:sz w:val="24"/>
        </w:rPr>
        <w:t>选购附件、备件及消耗品</w:t>
      </w:r>
      <w:r>
        <w:rPr>
          <w:b/>
          <w:sz w:val="24"/>
        </w:rPr>
        <w:t xml:space="preserve"> </w:t>
      </w:r>
    </w:p>
    <w:p w14:paraId="28638541">
      <w:pPr>
        <w:spacing w:line="360" w:lineRule="auto"/>
        <w:rPr>
          <w:rFonts w:cs="宋体"/>
          <w:kern w:val="0"/>
          <w:sz w:val="24"/>
        </w:rPr>
      </w:pPr>
      <w:r>
        <w:rPr>
          <w:rFonts w:cs="宋体"/>
          <w:kern w:val="0"/>
          <w:sz w:val="24"/>
        </w:rPr>
        <w:t xml:space="preserve">5.1 </w:t>
      </w:r>
      <w:r>
        <w:rPr>
          <w:rFonts w:hint="eastAsia" w:cs="宋体"/>
          <w:kern w:val="0"/>
          <w:sz w:val="24"/>
        </w:rPr>
        <w:t>投标人推荐的其它选件。</w:t>
      </w:r>
    </w:p>
    <w:p w14:paraId="0CFBEA2E">
      <w:pPr>
        <w:tabs>
          <w:tab w:val="left" w:pos="540"/>
        </w:tabs>
        <w:spacing w:line="360" w:lineRule="auto"/>
        <w:rPr>
          <w:sz w:val="24"/>
        </w:rPr>
      </w:pPr>
    </w:p>
    <w:p w14:paraId="375398D7">
      <w:pPr>
        <w:spacing w:line="360" w:lineRule="auto"/>
        <w:rPr>
          <w:b/>
          <w:sz w:val="24"/>
        </w:rPr>
      </w:pPr>
      <w:r>
        <w:rPr>
          <w:b/>
          <w:sz w:val="24"/>
        </w:rPr>
        <w:t>6.</w:t>
      </w:r>
      <w:r>
        <w:rPr>
          <w:rFonts w:hint="eastAsia"/>
          <w:b/>
          <w:sz w:val="24"/>
        </w:rPr>
        <w:t>技术文件</w:t>
      </w:r>
    </w:p>
    <w:p w14:paraId="1D1B3771">
      <w:pPr>
        <w:spacing w:line="360" w:lineRule="auto"/>
        <w:rPr>
          <w:rFonts w:cs="宋体"/>
          <w:kern w:val="0"/>
          <w:sz w:val="24"/>
        </w:rPr>
      </w:pPr>
      <w:r>
        <w:rPr>
          <w:rFonts w:cs="宋体"/>
          <w:kern w:val="0"/>
          <w:sz w:val="24"/>
        </w:rPr>
        <w:t>6.</w:t>
      </w:r>
      <w:r>
        <w:rPr>
          <w:rFonts w:hint="eastAsia" w:cs="宋体"/>
          <w:kern w:val="0"/>
          <w:sz w:val="24"/>
        </w:rPr>
        <w:t>1</w:t>
      </w:r>
      <w:r>
        <w:rPr>
          <w:rFonts w:cs="宋体"/>
          <w:kern w:val="0"/>
          <w:sz w:val="24"/>
        </w:rPr>
        <w:t xml:space="preserve"> </w:t>
      </w:r>
      <w:r>
        <w:rPr>
          <w:rFonts w:hint="eastAsia" w:cs="宋体"/>
          <w:kern w:val="0"/>
          <w:sz w:val="24"/>
        </w:rPr>
        <w:t>投标人应提供仪器电子版说明书。</w:t>
      </w:r>
    </w:p>
    <w:p w14:paraId="382A9A88">
      <w:pPr>
        <w:spacing w:line="360" w:lineRule="auto"/>
        <w:rPr>
          <w:rFonts w:cs="宋体"/>
          <w:kern w:val="0"/>
          <w:sz w:val="24"/>
        </w:rPr>
      </w:pPr>
      <w:r>
        <w:rPr>
          <w:rFonts w:cs="宋体"/>
          <w:kern w:val="0"/>
          <w:sz w:val="24"/>
        </w:rPr>
        <w:t>6.</w:t>
      </w:r>
      <w:r>
        <w:rPr>
          <w:rFonts w:hint="eastAsia" w:cs="宋体"/>
          <w:kern w:val="0"/>
          <w:sz w:val="24"/>
        </w:rPr>
        <w:t>2</w:t>
      </w:r>
      <w:r>
        <w:rPr>
          <w:rFonts w:cs="宋体"/>
          <w:kern w:val="0"/>
          <w:sz w:val="24"/>
        </w:rPr>
        <w:t xml:space="preserve"> </w:t>
      </w:r>
      <w:r>
        <w:rPr>
          <w:rFonts w:hint="eastAsia" w:cs="宋体"/>
          <w:kern w:val="0"/>
          <w:sz w:val="24"/>
        </w:rPr>
        <w:t>投标人应提供仪器使用软件的备份。</w:t>
      </w:r>
    </w:p>
    <w:p w14:paraId="55771AE3">
      <w:pPr>
        <w:spacing w:line="360" w:lineRule="auto"/>
        <w:rPr>
          <w:rFonts w:cs="宋体"/>
          <w:kern w:val="0"/>
          <w:sz w:val="24"/>
        </w:rPr>
      </w:pPr>
      <w:r>
        <w:rPr>
          <w:rFonts w:cs="宋体"/>
          <w:kern w:val="0"/>
          <w:sz w:val="24"/>
        </w:rPr>
        <w:t>6.</w:t>
      </w:r>
      <w:r>
        <w:rPr>
          <w:rFonts w:hint="eastAsia" w:cs="宋体"/>
          <w:kern w:val="0"/>
          <w:sz w:val="24"/>
        </w:rPr>
        <w:t>3</w:t>
      </w:r>
      <w:r>
        <w:rPr>
          <w:rFonts w:cs="宋体"/>
          <w:kern w:val="0"/>
          <w:sz w:val="24"/>
        </w:rPr>
        <w:t xml:space="preserve"> </w:t>
      </w:r>
      <w:r>
        <w:rPr>
          <w:rFonts w:hint="eastAsia" w:cs="宋体"/>
          <w:kern w:val="0"/>
          <w:sz w:val="24"/>
        </w:rPr>
        <w:t>提供电子版操作手册。</w:t>
      </w:r>
    </w:p>
    <w:p w14:paraId="554F5B3E">
      <w:pPr>
        <w:spacing w:line="360" w:lineRule="auto"/>
        <w:rPr>
          <w:sz w:val="24"/>
        </w:rPr>
      </w:pPr>
    </w:p>
    <w:p w14:paraId="606C3F20">
      <w:pPr>
        <w:spacing w:line="360" w:lineRule="auto"/>
        <w:rPr>
          <w:b/>
          <w:sz w:val="24"/>
        </w:rPr>
      </w:pPr>
      <w:r>
        <w:rPr>
          <w:rFonts w:hint="eastAsia"/>
          <w:b/>
          <w:sz w:val="24"/>
        </w:rPr>
        <w:t>（二）质保及售后服务：</w:t>
      </w:r>
    </w:p>
    <w:p w14:paraId="33BE9427">
      <w:pPr>
        <w:spacing w:line="360" w:lineRule="auto"/>
        <w:rPr>
          <w:sz w:val="24"/>
        </w:rPr>
      </w:pPr>
      <w:r>
        <w:rPr>
          <w:rFonts w:hint="eastAsia"/>
          <w:sz w:val="24"/>
        </w:rPr>
        <w:t>1技术保障：货物供应商或制造商需要设有应用实验室，在应用实验室有同型号仪器供测试样品，方便、快捷的进行技术对比。同时设有培训中心，可以随时为用户提初级和高级培训。仪器发生故障后，电话报修4小时内响应、48小时上门服务、120小时内排除故障。</w:t>
      </w:r>
    </w:p>
    <w:p w14:paraId="31467ABB">
      <w:pPr>
        <w:spacing w:line="360" w:lineRule="auto"/>
        <w:rPr>
          <w:sz w:val="24"/>
        </w:rPr>
      </w:pPr>
      <w:r>
        <w:rPr>
          <w:rFonts w:hint="eastAsia"/>
          <w:sz w:val="24"/>
        </w:rPr>
        <w:t>2安装、调试保证：收到用户安装仪器通知后, 在两周之内, 厂方安排安装工程师前往现场免费安装调试仪器。时间约为3天。仪器安装后，仪器公司安装工程师为用户提供现场培训。仪器使用6-8周后，如用户未能完全掌握仪器使用，仪器公司应再派应用工程师提供现场解决疑难问题，所有费用由公司承担。</w:t>
      </w:r>
    </w:p>
    <w:p w14:paraId="77DF143F">
      <w:pPr>
        <w:spacing w:line="360" w:lineRule="auto"/>
        <w:rPr>
          <w:sz w:val="24"/>
        </w:rPr>
      </w:pPr>
      <w:r>
        <w:rPr>
          <w:rFonts w:hint="eastAsia"/>
          <w:sz w:val="24"/>
        </w:rPr>
        <w:t>3培训：</w:t>
      </w:r>
    </w:p>
    <w:p w14:paraId="4418BD8E">
      <w:pPr>
        <w:spacing w:line="360" w:lineRule="auto"/>
        <w:rPr>
          <w:sz w:val="24"/>
        </w:rPr>
      </w:pPr>
      <w:r>
        <w:rPr>
          <w:rFonts w:hint="eastAsia"/>
          <w:sz w:val="24"/>
        </w:rPr>
        <w:t>3.1在用户现场进行安装调试时，仪器公司安装工程师为用户提供现场培训，直至用户掌握仪器原理和使用。</w:t>
      </w:r>
    </w:p>
    <w:p w14:paraId="042CD66B">
      <w:pPr>
        <w:spacing w:line="360" w:lineRule="auto"/>
        <w:rPr>
          <w:sz w:val="24"/>
        </w:rPr>
      </w:pPr>
      <w:r>
        <w:rPr>
          <w:rFonts w:hint="eastAsia"/>
          <w:sz w:val="24"/>
        </w:rPr>
        <w:t>3.2在仪器安装调试结束后，供应商免费为用户提供定期（每年一次）对服务情况进行回访和设备检查。</w:t>
      </w:r>
    </w:p>
    <w:p w14:paraId="472A7494">
      <w:pPr>
        <w:spacing w:line="360" w:lineRule="auto"/>
        <w:rPr>
          <w:sz w:val="24"/>
        </w:rPr>
      </w:pPr>
      <w:r>
        <w:rPr>
          <w:rFonts w:hint="eastAsia"/>
          <w:sz w:val="24"/>
        </w:rPr>
        <w:t>3.3质保期内额外免费提供一次系统主要测试测试服务，并提供全套仪器操作说明书。</w:t>
      </w:r>
    </w:p>
    <w:p w14:paraId="42C723F6">
      <w:pPr>
        <w:spacing w:line="360" w:lineRule="auto"/>
        <w:rPr>
          <w:sz w:val="24"/>
        </w:rPr>
      </w:pPr>
      <w:r>
        <w:rPr>
          <w:rFonts w:hint="eastAsia"/>
          <w:sz w:val="24"/>
        </w:rPr>
        <w:t>4保修期：仪器整机质保期2年。</w:t>
      </w:r>
    </w:p>
    <w:p w14:paraId="6CBB782B">
      <w:pPr>
        <w:spacing w:line="360" w:lineRule="auto"/>
        <w:rPr>
          <w:sz w:val="24"/>
        </w:rPr>
      </w:pPr>
    </w:p>
    <w:p w14:paraId="6EFE07B9">
      <w:pPr>
        <w:spacing w:line="360" w:lineRule="auto"/>
        <w:rPr>
          <w:b/>
          <w:sz w:val="24"/>
        </w:rPr>
      </w:pPr>
      <w:r>
        <w:rPr>
          <w:rFonts w:hint="eastAsia"/>
          <w:b/>
          <w:sz w:val="24"/>
        </w:rPr>
        <w:t>（三） 订货数量：</w:t>
      </w:r>
    </w:p>
    <w:p w14:paraId="227B3906">
      <w:pPr>
        <w:spacing w:line="360" w:lineRule="auto"/>
        <w:ind w:firstLine="480" w:firstLineChars="200"/>
        <w:rPr>
          <w:sz w:val="24"/>
        </w:rPr>
      </w:pPr>
      <w:r>
        <w:rPr>
          <w:rFonts w:hint="eastAsia"/>
          <w:sz w:val="24"/>
        </w:rPr>
        <w:t>飞秒激光精密微纳加工系统，1套。</w:t>
      </w:r>
    </w:p>
    <w:p w14:paraId="6C47558C">
      <w:pPr>
        <w:spacing w:line="360" w:lineRule="auto"/>
        <w:rPr>
          <w:sz w:val="24"/>
        </w:rPr>
      </w:pPr>
    </w:p>
    <w:p w14:paraId="07A9C8CF">
      <w:pPr>
        <w:spacing w:line="360" w:lineRule="auto"/>
        <w:rPr>
          <w:b/>
          <w:sz w:val="24"/>
        </w:rPr>
      </w:pPr>
      <w:r>
        <w:rPr>
          <w:rFonts w:hint="eastAsia"/>
          <w:b/>
          <w:sz w:val="24"/>
        </w:rPr>
        <w:t>（四）交货日期：</w:t>
      </w:r>
    </w:p>
    <w:p w14:paraId="178964E0">
      <w:pPr>
        <w:spacing w:line="360" w:lineRule="auto"/>
        <w:ind w:firstLine="480" w:firstLineChars="200"/>
        <w:rPr>
          <w:sz w:val="24"/>
        </w:rPr>
      </w:pPr>
      <w:r>
        <w:rPr>
          <w:rFonts w:hint="eastAsia"/>
          <w:sz w:val="24"/>
        </w:rPr>
        <w:t>合同生效后10个月内。</w:t>
      </w:r>
    </w:p>
    <w:p w14:paraId="0CEF9748">
      <w:pPr>
        <w:spacing w:line="360" w:lineRule="auto"/>
        <w:rPr>
          <w:sz w:val="24"/>
        </w:rPr>
      </w:pPr>
    </w:p>
    <w:p w14:paraId="5E8B5795">
      <w:pPr>
        <w:spacing w:line="360" w:lineRule="auto"/>
        <w:rPr>
          <w:b/>
          <w:sz w:val="24"/>
        </w:rPr>
      </w:pPr>
      <w:r>
        <w:rPr>
          <w:rFonts w:hint="eastAsia"/>
          <w:b/>
          <w:sz w:val="24"/>
        </w:rPr>
        <w:t>（五）交货地点（项目现场）：</w:t>
      </w:r>
    </w:p>
    <w:p w14:paraId="22ABD256">
      <w:pPr>
        <w:spacing w:line="360" w:lineRule="auto"/>
        <w:ind w:firstLine="480" w:firstLineChars="200"/>
        <w:rPr>
          <w:sz w:val="24"/>
        </w:rPr>
      </w:pPr>
      <w:r>
        <w:rPr>
          <w:rFonts w:hint="eastAsia"/>
          <w:sz w:val="24"/>
        </w:rPr>
        <w:t>中国科学院福建物质结构研究所指定实验室</w:t>
      </w:r>
    </w:p>
    <w:p w14:paraId="34B0F39A">
      <w:pPr>
        <w:spacing w:line="360" w:lineRule="auto"/>
        <w:ind w:firstLine="480" w:firstLineChars="200"/>
        <w:rPr>
          <w:sz w:val="24"/>
        </w:rPr>
      </w:pPr>
    </w:p>
    <w:p w14:paraId="037E23EE">
      <w:pPr>
        <w:spacing w:line="360" w:lineRule="auto"/>
        <w:rPr>
          <w:sz w:val="24"/>
        </w:rPr>
      </w:pPr>
      <w:r>
        <w:rPr>
          <w:rFonts w:hint="eastAsia"/>
          <w:b/>
          <w:sz w:val="24"/>
        </w:rPr>
        <w:t xml:space="preserve">（六）付款方式： </w:t>
      </w:r>
      <w:r>
        <w:rPr>
          <w:rFonts w:hint="eastAsia"/>
          <w:sz w:val="24"/>
        </w:rPr>
        <w:t xml:space="preserve">                                        </w:t>
      </w:r>
    </w:p>
    <w:p w14:paraId="193511CB">
      <w:pPr>
        <w:spacing w:line="360" w:lineRule="auto"/>
        <w:ind w:firstLine="480" w:firstLineChars="200"/>
        <w:rPr>
          <w:sz w:val="24"/>
        </w:rPr>
      </w:pPr>
      <w:r>
        <w:rPr>
          <w:rFonts w:hint="eastAsia"/>
          <w:sz w:val="24"/>
        </w:rPr>
        <w:t>国产产品，凭用户代表签字并加盖单位公章后的验收报告支付100%。</w:t>
      </w:r>
    </w:p>
    <w:p w14:paraId="23F8524B">
      <w:pPr>
        <w:adjustRightInd w:val="0"/>
        <w:snapToGrid w:val="0"/>
        <w:spacing w:after="156" w:afterLines="50" w:line="360" w:lineRule="auto"/>
        <w:jc w:val="center"/>
        <w:outlineLvl w:val="0"/>
        <w:rPr>
          <w:rFonts w:ascii="黑体" w:eastAsia="黑体"/>
          <w:b/>
          <w:kern w:val="44"/>
          <w:sz w:val="48"/>
          <w:szCs w:val="20"/>
        </w:rPr>
      </w:pPr>
    </w:p>
    <w:p w14:paraId="0879CDE8">
      <w:pPr>
        <w:widowControl/>
        <w:spacing w:line="360" w:lineRule="atLeast"/>
        <w:rPr>
          <w:rFonts w:hint="eastAsia" w:ascii="宋体" w:hAnsi="宋体"/>
          <w:b/>
          <w:sz w:val="30"/>
          <w:szCs w:val="30"/>
        </w:rPr>
      </w:pPr>
    </w:p>
    <w:sectPr>
      <w:headerReference r:id="rId3" w:type="first"/>
      <w:footerReference r:id="rId5" w:type="first"/>
      <w:footerReference r:id="rId4"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auto"/>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ejaVuSans-Bold">
    <w:altName w:val="Segoe Print"/>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swiss"/>
    <w:pitch w:val="default"/>
    <w:sig w:usb0="00000000" w:usb1="00000000" w:usb2="00000000" w:usb3="00000000" w:csb0="00000001" w:csb1="00000000"/>
  </w:font>
  <w:font w:name="DejaVuSans">
    <w:altName w:val="Segoe Print"/>
    <w:panose1 w:val="00000000000000000000"/>
    <w:charset w:val="00"/>
    <w:family w:val="auto"/>
    <w:pitch w:val="default"/>
    <w:sig w:usb0="00000000" w:usb1="00000000" w:usb2="00000000" w:usb3="00000000" w:csb0="00040001" w:csb1="00000000"/>
  </w:font>
  <w:font w:name="FZSONGS--GB1-5">
    <w:altName w:val="Segoe Print"/>
    <w:panose1 w:val="00000000000000000000"/>
    <w:charset w:val="00"/>
    <w:family w:val="auto"/>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time of new roman">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3F32">
    <w:pPr>
      <w:pStyle w:val="25"/>
      <w:jc w:val="center"/>
    </w:pPr>
    <w:r>
      <w:fldChar w:fldCharType="begin"/>
    </w:r>
    <w:r>
      <w:instrText xml:space="preserve">PAGE   \* MERGEFORMAT</w:instrText>
    </w:r>
    <w:r>
      <w:fldChar w:fldCharType="separate"/>
    </w:r>
    <w:r>
      <w:rPr>
        <w:lang w:val="zh-CN"/>
      </w:rPr>
      <w:t>80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A43E">
    <w:pPr>
      <w:pStyle w:val="25"/>
      <w:jc w:val="center"/>
    </w:pPr>
    <w:r>
      <w:fldChar w:fldCharType="begin"/>
    </w:r>
    <w:r>
      <w:instrText xml:space="preserve">PAGE   \* MERGEFORMAT</w:instrText>
    </w:r>
    <w:r>
      <w:fldChar w:fldCharType="separate"/>
    </w:r>
    <w:r>
      <w:rPr>
        <w:lang w:val="zh-CN"/>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ED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5B104"/>
    <w:multiLevelType w:val="singleLevel"/>
    <w:tmpl w:val="D785B1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ODBlYzc0NjRkMTZiZDAzOTQwZmVlNGQ5MmQwMDMifQ=="/>
  </w:docVars>
  <w:rsids>
    <w:rsidRoot w:val="00FA3835"/>
    <w:rsid w:val="00000C22"/>
    <w:rsid w:val="000050A2"/>
    <w:rsid w:val="00027C8D"/>
    <w:rsid w:val="00040005"/>
    <w:rsid w:val="000414C3"/>
    <w:rsid w:val="000512E1"/>
    <w:rsid w:val="000543E7"/>
    <w:rsid w:val="0006010D"/>
    <w:rsid w:val="00060F7A"/>
    <w:rsid w:val="00061B59"/>
    <w:rsid w:val="000668DC"/>
    <w:rsid w:val="00081ADD"/>
    <w:rsid w:val="000969BB"/>
    <w:rsid w:val="000973D2"/>
    <w:rsid w:val="000A0E03"/>
    <w:rsid w:val="000B12EC"/>
    <w:rsid w:val="000B636A"/>
    <w:rsid w:val="000C1F98"/>
    <w:rsid w:val="000C325D"/>
    <w:rsid w:val="000C505C"/>
    <w:rsid w:val="000D1A3C"/>
    <w:rsid w:val="000D24C4"/>
    <w:rsid w:val="000E0B0C"/>
    <w:rsid w:val="000E17D4"/>
    <w:rsid w:val="000E2D17"/>
    <w:rsid w:val="000E4DA9"/>
    <w:rsid w:val="000F0512"/>
    <w:rsid w:val="000F4571"/>
    <w:rsid w:val="00101384"/>
    <w:rsid w:val="00103352"/>
    <w:rsid w:val="00105333"/>
    <w:rsid w:val="00107833"/>
    <w:rsid w:val="00107AF4"/>
    <w:rsid w:val="001140D0"/>
    <w:rsid w:val="001235CA"/>
    <w:rsid w:val="00137D93"/>
    <w:rsid w:val="00141F30"/>
    <w:rsid w:val="001437EA"/>
    <w:rsid w:val="001444BD"/>
    <w:rsid w:val="00144505"/>
    <w:rsid w:val="00144DDA"/>
    <w:rsid w:val="0014761F"/>
    <w:rsid w:val="00152B99"/>
    <w:rsid w:val="00153F11"/>
    <w:rsid w:val="00154F47"/>
    <w:rsid w:val="00155A34"/>
    <w:rsid w:val="00164E27"/>
    <w:rsid w:val="001921CA"/>
    <w:rsid w:val="00194900"/>
    <w:rsid w:val="001A0E56"/>
    <w:rsid w:val="001A6E63"/>
    <w:rsid w:val="001B195C"/>
    <w:rsid w:val="001B2894"/>
    <w:rsid w:val="001B30E7"/>
    <w:rsid w:val="001B62CC"/>
    <w:rsid w:val="001B66E1"/>
    <w:rsid w:val="001B6E57"/>
    <w:rsid w:val="001D7301"/>
    <w:rsid w:val="001E1467"/>
    <w:rsid w:val="001E152C"/>
    <w:rsid w:val="001E3480"/>
    <w:rsid w:val="001F18B7"/>
    <w:rsid w:val="001F1D2B"/>
    <w:rsid w:val="001F5FAD"/>
    <w:rsid w:val="001F79B6"/>
    <w:rsid w:val="00201D06"/>
    <w:rsid w:val="002024C7"/>
    <w:rsid w:val="00206639"/>
    <w:rsid w:val="0021259E"/>
    <w:rsid w:val="00213C28"/>
    <w:rsid w:val="00224FE7"/>
    <w:rsid w:val="0023253F"/>
    <w:rsid w:val="00233C8A"/>
    <w:rsid w:val="00240E7B"/>
    <w:rsid w:val="00247ED0"/>
    <w:rsid w:val="00251DB7"/>
    <w:rsid w:val="002672D1"/>
    <w:rsid w:val="00275598"/>
    <w:rsid w:val="002761A3"/>
    <w:rsid w:val="0028124D"/>
    <w:rsid w:val="00282A80"/>
    <w:rsid w:val="00282F14"/>
    <w:rsid w:val="00292E0B"/>
    <w:rsid w:val="002B44BD"/>
    <w:rsid w:val="002B4D86"/>
    <w:rsid w:val="002B6E7A"/>
    <w:rsid w:val="002B7380"/>
    <w:rsid w:val="002C47B5"/>
    <w:rsid w:val="002D5C47"/>
    <w:rsid w:val="002E03AA"/>
    <w:rsid w:val="002E6A76"/>
    <w:rsid w:val="002F1704"/>
    <w:rsid w:val="002F6DE0"/>
    <w:rsid w:val="002F6FCA"/>
    <w:rsid w:val="002F74DD"/>
    <w:rsid w:val="002F7EF8"/>
    <w:rsid w:val="00301191"/>
    <w:rsid w:val="00322611"/>
    <w:rsid w:val="003248D5"/>
    <w:rsid w:val="00326D72"/>
    <w:rsid w:val="0033189B"/>
    <w:rsid w:val="003442AE"/>
    <w:rsid w:val="0034443A"/>
    <w:rsid w:val="003474B8"/>
    <w:rsid w:val="00353E66"/>
    <w:rsid w:val="00357C16"/>
    <w:rsid w:val="003637C6"/>
    <w:rsid w:val="003732CC"/>
    <w:rsid w:val="00373B63"/>
    <w:rsid w:val="00374F9A"/>
    <w:rsid w:val="00382C0C"/>
    <w:rsid w:val="00384443"/>
    <w:rsid w:val="00391A69"/>
    <w:rsid w:val="00397F24"/>
    <w:rsid w:val="003A298A"/>
    <w:rsid w:val="003B4F45"/>
    <w:rsid w:val="003B6193"/>
    <w:rsid w:val="003C172D"/>
    <w:rsid w:val="003C5755"/>
    <w:rsid w:val="003C7092"/>
    <w:rsid w:val="003C785A"/>
    <w:rsid w:val="003D2B81"/>
    <w:rsid w:val="003F5F7A"/>
    <w:rsid w:val="004043A2"/>
    <w:rsid w:val="00404EA5"/>
    <w:rsid w:val="00415144"/>
    <w:rsid w:val="00420D92"/>
    <w:rsid w:val="0042297A"/>
    <w:rsid w:val="00425563"/>
    <w:rsid w:val="004362C7"/>
    <w:rsid w:val="0044106E"/>
    <w:rsid w:val="00446E68"/>
    <w:rsid w:val="00447503"/>
    <w:rsid w:val="00450A06"/>
    <w:rsid w:val="00457522"/>
    <w:rsid w:val="0046038A"/>
    <w:rsid w:val="0046686A"/>
    <w:rsid w:val="00471176"/>
    <w:rsid w:val="00482759"/>
    <w:rsid w:val="00484FF8"/>
    <w:rsid w:val="00497B92"/>
    <w:rsid w:val="004A0EB1"/>
    <w:rsid w:val="004A3B49"/>
    <w:rsid w:val="004A5C14"/>
    <w:rsid w:val="004B3476"/>
    <w:rsid w:val="004B36B8"/>
    <w:rsid w:val="004C387C"/>
    <w:rsid w:val="004D00FB"/>
    <w:rsid w:val="004D0AB9"/>
    <w:rsid w:val="004D323C"/>
    <w:rsid w:val="004E042A"/>
    <w:rsid w:val="004E4504"/>
    <w:rsid w:val="004F0FDE"/>
    <w:rsid w:val="004F3E07"/>
    <w:rsid w:val="00504FD3"/>
    <w:rsid w:val="00510823"/>
    <w:rsid w:val="00512882"/>
    <w:rsid w:val="005143FF"/>
    <w:rsid w:val="00514B39"/>
    <w:rsid w:val="00516FEB"/>
    <w:rsid w:val="005244F5"/>
    <w:rsid w:val="00524665"/>
    <w:rsid w:val="00543C0A"/>
    <w:rsid w:val="0054699B"/>
    <w:rsid w:val="00550FAD"/>
    <w:rsid w:val="005515EB"/>
    <w:rsid w:val="0055226E"/>
    <w:rsid w:val="00552E7C"/>
    <w:rsid w:val="005601D0"/>
    <w:rsid w:val="005613B2"/>
    <w:rsid w:val="005626C2"/>
    <w:rsid w:val="0056304A"/>
    <w:rsid w:val="00566BB9"/>
    <w:rsid w:val="00567C6F"/>
    <w:rsid w:val="0057066D"/>
    <w:rsid w:val="00572671"/>
    <w:rsid w:val="0057419D"/>
    <w:rsid w:val="005865A8"/>
    <w:rsid w:val="00591688"/>
    <w:rsid w:val="005916DF"/>
    <w:rsid w:val="00595627"/>
    <w:rsid w:val="00595D3F"/>
    <w:rsid w:val="00595EAC"/>
    <w:rsid w:val="005A2F5B"/>
    <w:rsid w:val="005A52D6"/>
    <w:rsid w:val="005A75F6"/>
    <w:rsid w:val="005C3D11"/>
    <w:rsid w:val="005C574A"/>
    <w:rsid w:val="005D09A0"/>
    <w:rsid w:val="005D479D"/>
    <w:rsid w:val="005E416B"/>
    <w:rsid w:val="005E7A21"/>
    <w:rsid w:val="005F24B2"/>
    <w:rsid w:val="0060103A"/>
    <w:rsid w:val="00602911"/>
    <w:rsid w:val="00602A7A"/>
    <w:rsid w:val="0060509A"/>
    <w:rsid w:val="006125F5"/>
    <w:rsid w:val="00612A9B"/>
    <w:rsid w:val="006137A8"/>
    <w:rsid w:val="00614D00"/>
    <w:rsid w:val="006225E2"/>
    <w:rsid w:val="00624EE8"/>
    <w:rsid w:val="0062676A"/>
    <w:rsid w:val="0062704A"/>
    <w:rsid w:val="00640DB1"/>
    <w:rsid w:val="006416E9"/>
    <w:rsid w:val="0064545D"/>
    <w:rsid w:val="00646C82"/>
    <w:rsid w:val="00647CD5"/>
    <w:rsid w:val="006548A6"/>
    <w:rsid w:val="00655478"/>
    <w:rsid w:val="00664D7F"/>
    <w:rsid w:val="00673641"/>
    <w:rsid w:val="006858B6"/>
    <w:rsid w:val="0069730F"/>
    <w:rsid w:val="006A20FD"/>
    <w:rsid w:val="006A377B"/>
    <w:rsid w:val="006B0930"/>
    <w:rsid w:val="006C4384"/>
    <w:rsid w:val="006C5135"/>
    <w:rsid w:val="006C546E"/>
    <w:rsid w:val="006D29F2"/>
    <w:rsid w:val="006E2DE0"/>
    <w:rsid w:val="006E31CF"/>
    <w:rsid w:val="006E5A8E"/>
    <w:rsid w:val="0070081C"/>
    <w:rsid w:val="00701751"/>
    <w:rsid w:val="00702F62"/>
    <w:rsid w:val="007114DF"/>
    <w:rsid w:val="00715CC3"/>
    <w:rsid w:val="0071653B"/>
    <w:rsid w:val="00721985"/>
    <w:rsid w:val="00724C84"/>
    <w:rsid w:val="007252A8"/>
    <w:rsid w:val="00725C0A"/>
    <w:rsid w:val="0073119D"/>
    <w:rsid w:val="0073199C"/>
    <w:rsid w:val="0073213D"/>
    <w:rsid w:val="00735220"/>
    <w:rsid w:val="00735551"/>
    <w:rsid w:val="007376B0"/>
    <w:rsid w:val="00740508"/>
    <w:rsid w:val="00743776"/>
    <w:rsid w:val="00751428"/>
    <w:rsid w:val="0075674B"/>
    <w:rsid w:val="007614AE"/>
    <w:rsid w:val="007618F7"/>
    <w:rsid w:val="00761F2B"/>
    <w:rsid w:val="00762E43"/>
    <w:rsid w:val="00763B74"/>
    <w:rsid w:val="00763E3B"/>
    <w:rsid w:val="007731D0"/>
    <w:rsid w:val="00775B16"/>
    <w:rsid w:val="00785A0A"/>
    <w:rsid w:val="00787CED"/>
    <w:rsid w:val="00790A6B"/>
    <w:rsid w:val="00791533"/>
    <w:rsid w:val="007967F8"/>
    <w:rsid w:val="007A3772"/>
    <w:rsid w:val="007C2696"/>
    <w:rsid w:val="007C4C31"/>
    <w:rsid w:val="007C5EA5"/>
    <w:rsid w:val="007D381E"/>
    <w:rsid w:val="007D3EE2"/>
    <w:rsid w:val="007E03CA"/>
    <w:rsid w:val="007E6193"/>
    <w:rsid w:val="007F2F97"/>
    <w:rsid w:val="007F387D"/>
    <w:rsid w:val="007F7152"/>
    <w:rsid w:val="007F772E"/>
    <w:rsid w:val="008203E6"/>
    <w:rsid w:val="00822633"/>
    <w:rsid w:val="00830107"/>
    <w:rsid w:val="00831B02"/>
    <w:rsid w:val="00833174"/>
    <w:rsid w:val="00837C65"/>
    <w:rsid w:val="00844CF7"/>
    <w:rsid w:val="00846609"/>
    <w:rsid w:val="00852958"/>
    <w:rsid w:val="0085467F"/>
    <w:rsid w:val="00861EC8"/>
    <w:rsid w:val="00864F77"/>
    <w:rsid w:val="008661F8"/>
    <w:rsid w:val="008712FA"/>
    <w:rsid w:val="00876AA9"/>
    <w:rsid w:val="00876EFF"/>
    <w:rsid w:val="00882892"/>
    <w:rsid w:val="00883AB2"/>
    <w:rsid w:val="008856DD"/>
    <w:rsid w:val="008861B2"/>
    <w:rsid w:val="00887A5A"/>
    <w:rsid w:val="00896377"/>
    <w:rsid w:val="008A09F5"/>
    <w:rsid w:val="008A4B18"/>
    <w:rsid w:val="008A738C"/>
    <w:rsid w:val="008B2645"/>
    <w:rsid w:val="008C36D3"/>
    <w:rsid w:val="008C41EC"/>
    <w:rsid w:val="008D0675"/>
    <w:rsid w:val="008D1425"/>
    <w:rsid w:val="008D1EC0"/>
    <w:rsid w:val="008D3BC8"/>
    <w:rsid w:val="008D4C91"/>
    <w:rsid w:val="008D6F23"/>
    <w:rsid w:val="008E5EB5"/>
    <w:rsid w:val="008F04C7"/>
    <w:rsid w:val="008F21A5"/>
    <w:rsid w:val="008F2440"/>
    <w:rsid w:val="008F2F12"/>
    <w:rsid w:val="00900EA9"/>
    <w:rsid w:val="0090696E"/>
    <w:rsid w:val="00911168"/>
    <w:rsid w:val="00912DE0"/>
    <w:rsid w:val="00914619"/>
    <w:rsid w:val="009202C8"/>
    <w:rsid w:val="009246BA"/>
    <w:rsid w:val="00930CDE"/>
    <w:rsid w:val="00935AA1"/>
    <w:rsid w:val="0094041D"/>
    <w:rsid w:val="009451DC"/>
    <w:rsid w:val="0094655E"/>
    <w:rsid w:val="009467F2"/>
    <w:rsid w:val="0095655E"/>
    <w:rsid w:val="00963B43"/>
    <w:rsid w:val="009718ED"/>
    <w:rsid w:val="0097297B"/>
    <w:rsid w:val="0098154C"/>
    <w:rsid w:val="0098549E"/>
    <w:rsid w:val="009857EF"/>
    <w:rsid w:val="009941D8"/>
    <w:rsid w:val="009A2C18"/>
    <w:rsid w:val="009C0A0B"/>
    <w:rsid w:val="009C14BD"/>
    <w:rsid w:val="009C475A"/>
    <w:rsid w:val="009D1AF8"/>
    <w:rsid w:val="009D32B1"/>
    <w:rsid w:val="009E1C84"/>
    <w:rsid w:val="009E32D4"/>
    <w:rsid w:val="009E4080"/>
    <w:rsid w:val="009E4DCB"/>
    <w:rsid w:val="009E580F"/>
    <w:rsid w:val="009F5A6A"/>
    <w:rsid w:val="009F636A"/>
    <w:rsid w:val="00A01B3A"/>
    <w:rsid w:val="00A0205F"/>
    <w:rsid w:val="00A04E9D"/>
    <w:rsid w:val="00A05A6C"/>
    <w:rsid w:val="00A06893"/>
    <w:rsid w:val="00A10F34"/>
    <w:rsid w:val="00A21886"/>
    <w:rsid w:val="00A236E8"/>
    <w:rsid w:val="00A25682"/>
    <w:rsid w:val="00A2638C"/>
    <w:rsid w:val="00A27417"/>
    <w:rsid w:val="00A27AFD"/>
    <w:rsid w:val="00A3397B"/>
    <w:rsid w:val="00A354A8"/>
    <w:rsid w:val="00A4031E"/>
    <w:rsid w:val="00A44A2B"/>
    <w:rsid w:val="00A46F60"/>
    <w:rsid w:val="00A53234"/>
    <w:rsid w:val="00A57F47"/>
    <w:rsid w:val="00AA7A0D"/>
    <w:rsid w:val="00AB113B"/>
    <w:rsid w:val="00AD2FD2"/>
    <w:rsid w:val="00AD41E6"/>
    <w:rsid w:val="00AD4ADF"/>
    <w:rsid w:val="00AD4ECF"/>
    <w:rsid w:val="00AD70C8"/>
    <w:rsid w:val="00AF6067"/>
    <w:rsid w:val="00B01B9C"/>
    <w:rsid w:val="00B04039"/>
    <w:rsid w:val="00B07AAD"/>
    <w:rsid w:val="00B15273"/>
    <w:rsid w:val="00B16887"/>
    <w:rsid w:val="00B1746F"/>
    <w:rsid w:val="00B27A2B"/>
    <w:rsid w:val="00B31F00"/>
    <w:rsid w:val="00B351A2"/>
    <w:rsid w:val="00B41959"/>
    <w:rsid w:val="00B42C18"/>
    <w:rsid w:val="00B43CF7"/>
    <w:rsid w:val="00B44327"/>
    <w:rsid w:val="00B53944"/>
    <w:rsid w:val="00B61FDD"/>
    <w:rsid w:val="00B72137"/>
    <w:rsid w:val="00B758E7"/>
    <w:rsid w:val="00B75B80"/>
    <w:rsid w:val="00B81149"/>
    <w:rsid w:val="00B8672D"/>
    <w:rsid w:val="00B92E87"/>
    <w:rsid w:val="00B93873"/>
    <w:rsid w:val="00B94FB1"/>
    <w:rsid w:val="00BC5273"/>
    <w:rsid w:val="00BC7FBC"/>
    <w:rsid w:val="00BD11D6"/>
    <w:rsid w:val="00BD2544"/>
    <w:rsid w:val="00BD2A3B"/>
    <w:rsid w:val="00BD32CA"/>
    <w:rsid w:val="00BD646D"/>
    <w:rsid w:val="00BD6A33"/>
    <w:rsid w:val="00BD7ED0"/>
    <w:rsid w:val="00BE5E06"/>
    <w:rsid w:val="00BE643E"/>
    <w:rsid w:val="00BE7CED"/>
    <w:rsid w:val="00BF59BF"/>
    <w:rsid w:val="00C056B5"/>
    <w:rsid w:val="00C10630"/>
    <w:rsid w:val="00C12939"/>
    <w:rsid w:val="00C14E3B"/>
    <w:rsid w:val="00C23BA4"/>
    <w:rsid w:val="00C241B2"/>
    <w:rsid w:val="00C301D5"/>
    <w:rsid w:val="00C34485"/>
    <w:rsid w:val="00C40AB3"/>
    <w:rsid w:val="00C43805"/>
    <w:rsid w:val="00C43E24"/>
    <w:rsid w:val="00C45235"/>
    <w:rsid w:val="00C54B0C"/>
    <w:rsid w:val="00C60EF2"/>
    <w:rsid w:val="00C615B2"/>
    <w:rsid w:val="00C702F0"/>
    <w:rsid w:val="00C72B8D"/>
    <w:rsid w:val="00C74553"/>
    <w:rsid w:val="00C77167"/>
    <w:rsid w:val="00C8112C"/>
    <w:rsid w:val="00C87EF4"/>
    <w:rsid w:val="00CA623E"/>
    <w:rsid w:val="00CA630F"/>
    <w:rsid w:val="00CB30C2"/>
    <w:rsid w:val="00CB43EA"/>
    <w:rsid w:val="00CB4EB2"/>
    <w:rsid w:val="00CB7A41"/>
    <w:rsid w:val="00CC7A0B"/>
    <w:rsid w:val="00CD0A52"/>
    <w:rsid w:val="00CD0EEF"/>
    <w:rsid w:val="00CD64CD"/>
    <w:rsid w:val="00CE2041"/>
    <w:rsid w:val="00CE3059"/>
    <w:rsid w:val="00CE4960"/>
    <w:rsid w:val="00CE56FA"/>
    <w:rsid w:val="00CF0912"/>
    <w:rsid w:val="00D0060C"/>
    <w:rsid w:val="00D027B8"/>
    <w:rsid w:val="00D04134"/>
    <w:rsid w:val="00D0571C"/>
    <w:rsid w:val="00D0679B"/>
    <w:rsid w:val="00D072A7"/>
    <w:rsid w:val="00D11879"/>
    <w:rsid w:val="00D12547"/>
    <w:rsid w:val="00D214C5"/>
    <w:rsid w:val="00D22D44"/>
    <w:rsid w:val="00D378BA"/>
    <w:rsid w:val="00D40668"/>
    <w:rsid w:val="00D6263A"/>
    <w:rsid w:val="00D741DF"/>
    <w:rsid w:val="00D778D7"/>
    <w:rsid w:val="00D83934"/>
    <w:rsid w:val="00D861C3"/>
    <w:rsid w:val="00D86633"/>
    <w:rsid w:val="00D91A0C"/>
    <w:rsid w:val="00D9239C"/>
    <w:rsid w:val="00D95955"/>
    <w:rsid w:val="00D979AB"/>
    <w:rsid w:val="00DA41C6"/>
    <w:rsid w:val="00DA590C"/>
    <w:rsid w:val="00DA703D"/>
    <w:rsid w:val="00DB54CF"/>
    <w:rsid w:val="00DC1546"/>
    <w:rsid w:val="00DD2172"/>
    <w:rsid w:val="00DD4A09"/>
    <w:rsid w:val="00DD4C25"/>
    <w:rsid w:val="00DD6A1F"/>
    <w:rsid w:val="00DE4C00"/>
    <w:rsid w:val="00DE5C67"/>
    <w:rsid w:val="00DF2449"/>
    <w:rsid w:val="00DF3431"/>
    <w:rsid w:val="00DF7ACF"/>
    <w:rsid w:val="00E004CA"/>
    <w:rsid w:val="00E03391"/>
    <w:rsid w:val="00E0373B"/>
    <w:rsid w:val="00E05E3F"/>
    <w:rsid w:val="00E07308"/>
    <w:rsid w:val="00E077A7"/>
    <w:rsid w:val="00E14474"/>
    <w:rsid w:val="00E179B5"/>
    <w:rsid w:val="00E21D84"/>
    <w:rsid w:val="00E25DC7"/>
    <w:rsid w:val="00E26286"/>
    <w:rsid w:val="00E30AC2"/>
    <w:rsid w:val="00E33D84"/>
    <w:rsid w:val="00E34813"/>
    <w:rsid w:val="00E356D2"/>
    <w:rsid w:val="00E401B3"/>
    <w:rsid w:val="00E458DA"/>
    <w:rsid w:val="00E5687E"/>
    <w:rsid w:val="00E639CC"/>
    <w:rsid w:val="00E63D5B"/>
    <w:rsid w:val="00E671AD"/>
    <w:rsid w:val="00E83E40"/>
    <w:rsid w:val="00E857B8"/>
    <w:rsid w:val="00E907E5"/>
    <w:rsid w:val="00E943B8"/>
    <w:rsid w:val="00E96B51"/>
    <w:rsid w:val="00EA08EA"/>
    <w:rsid w:val="00EA11F7"/>
    <w:rsid w:val="00EA20B9"/>
    <w:rsid w:val="00EA4098"/>
    <w:rsid w:val="00EA4549"/>
    <w:rsid w:val="00ED0B37"/>
    <w:rsid w:val="00ED22DF"/>
    <w:rsid w:val="00ED4C66"/>
    <w:rsid w:val="00ED6781"/>
    <w:rsid w:val="00EE4BD8"/>
    <w:rsid w:val="00EF5BA0"/>
    <w:rsid w:val="00F00EAE"/>
    <w:rsid w:val="00F13600"/>
    <w:rsid w:val="00F15FC0"/>
    <w:rsid w:val="00F17042"/>
    <w:rsid w:val="00F175D1"/>
    <w:rsid w:val="00F21DA9"/>
    <w:rsid w:val="00F22A75"/>
    <w:rsid w:val="00F24225"/>
    <w:rsid w:val="00F30C1E"/>
    <w:rsid w:val="00F3185D"/>
    <w:rsid w:val="00F33352"/>
    <w:rsid w:val="00F35217"/>
    <w:rsid w:val="00F35C50"/>
    <w:rsid w:val="00F42D68"/>
    <w:rsid w:val="00F436FE"/>
    <w:rsid w:val="00F500D2"/>
    <w:rsid w:val="00F51A9D"/>
    <w:rsid w:val="00F51C8B"/>
    <w:rsid w:val="00F56674"/>
    <w:rsid w:val="00F57792"/>
    <w:rsid w:val="00F60048"/>
    <w:rsid w:val="00F6185A"/>
    <w:rsid w:val="00F70DF7"/>
    <w:rsid w:val="00F73FE2"/>
    <w:rsid w:val="00F74944"/>
    <w:rsid w:val="00F83D32"/>
    <w:rsid w:val="00F8497C"/>
    <w:rsid w:val="00F91E41"/>
    <w:rsid w:val="00FA238D"/>
    <w:rsid w:val="00FA3835"/>
    <w:rsid w:val="00FA6816"/>
    <w:rsid w:val="00FB5D79"/>
    <w:rsid w:val="00FB7F97"/>
    <w:rsid w:val="00FC0CEA"/>
    <w:rsid w:val="00FD0CCC"/>
    <w:rsid w:val="00FE3D91"/>
    <w:rsid w:val="00FE55D2"/>
    <w:rsid w:val="00FF5179"/>
    <w:rsid w:val="00FF728E"/>
    <w:rsid w:val="020B291A"/>
    <w:rsid w:val="036B26CC"/>
    <w:rsid w:val="04A459ED"/>
    <w:rsid w:val="053E2C54"/>
    <w:rsid w:val="05C25634"/>
    <w:rsid w:val="05FE75C6"/>
    <w:rsid w:val="06F02823"/>
    <w:rsid w:val="0762073E"/>
    <w:rsid w:val="07C27C17"/>
    <w:rsid w:val="09120680"/>
    <w:rsid w:val="09A45050"/>
    <w:rsid w:val="09FA1199"/>
    <w:rsid w:val="0A5B05D9"/>
    <w:rsid w:val="0ADE7A3A"/>
    <w:rsid w:val="0AE0030A"/>
    <w:rsid w:val="0B3C1449"/>
    <w:rsid w:val="0BBC0465"/>
    <w:rsid w:val="0D6B0DE4"/>
    <w:rsid w:val="0D8A6F81"/>
    <w:rsid w:val="0E39045D"/>
    <w:rsid w:val="0E936CC2"/>
    <w:rsid w:val="0EE967FA"/>
    <w:rsid w:val="0F4075C9"/>
    <w:rsid w:val="0F4672D5"/>
    <w:rsid w:val="0F4E40DD"/>
    <w:rsid w:val="0F6F4465"/>
    <w:rsid w:val="10E279BE"/>
    <w:rsid w:val="11AA378D"/>
    <w:rsid w:val="122E6778"/>
    <w:rsid w:val="124949E7"/>
    <w:rsid w:val="140844A6"/>
    <w:rsid w:val="14250B6B"/>
    <w:rsid w:val="14B85F1C"/>
    <w:rsid w:val="15C95BF0"/>
    <w:rsid w:val="15D708BB"/>
    <w:rsid w:val="15F52619"/>
    <w:rsid w:val="17CB6513"/>
    <w:rsid w:val="17E30CEE"/>
    <w:rsid w:val="185D6BC0"/>
    <w:rsid w:val="18BA0A7E"/>
    <w:rsid w:val="19200D4A"/>
    <w:rsid w:val="19AE7309"/>
    <w:rsid w:val="1A18361C"/>
    <w:rsid w:val="1A902BB0"/>
    <w:rsid w:val="1A980E1A"/>
    <w:rsid w:val="1AC76B94"/>
    <w:rsid w:val="1ACF0052"/>
    <w:rsid w:val="1B9E3D36"/>
    <w:rsid w:val="1BBA3A2F"/>
    <w:rsid w:val="1C686EB5"/>
    <w:rsid w:val="1C8F2A04"/>
    <w:rsid w:val="1CAF0198"/>
    <w:rsid w:val="1D8B6157"/>
    <w:rsid w:val="20365C75"/>
    <w:rsid w:val="20863AF3"/>
    <w:rsid w:val="20FD3BD3"/>
    <w:rsid w:val="218B2C39"/>
    <w:rsid w:val="21D70176"/>
    <w:rsid w:val="22597BF6"/>
    <w:rsid w:val="227819CB"/>
    <w:rsid w:val="22892262"/>
    <w:rsid w:val="23256975"/>
    <w:rsid w:val="23423424"/>
    <w:rsid w:val="238276EB"/>
    <w:rsid w:val="23F21382"/>
    <w:rsid w:val="240C4724"/>
    <w:rsid w:val="243F7370"/>
    <w:rsid w:val="248B1FC0"/>
    <w:rsid w:val="26053E04"/>
    <w:rsid w:val="262539EF"/>
    <w:rsid w:val="26976211"/>
    <w:rsid w:val="26DD3CEE"/>
    <w:rsid w:val="27F05BD9"/>
    <w:rsid w:val="298A5BB9"/>
    <w:rsid w:val="29DF7CB3"/>
    <w:rsid w:val="2A050E49"/>
    <w:rsid w:val="2A156674"/>
    <w:rsid w:val="2A8E004C"/>
    <w:rsid w:val="2B6A1BE2"/>
    <w:rsid w:val="2C0F1908"/>
    <w:rsid w:val="2C74376C"/>
    <w:rsid w:val="2CB90995"/>
    <w:rsid w:val="2D2B3E5F"/>
    <w:rsid w:val="2D5179CF"/>
    <w:rsid w:val="2ED5581D"/>
    <w:rsid w:val="2F25260C"/>
    <w:rsid w:val="308A097E"/>
    <w:rsid w:val="319039E6"/>
    <w:rsid w:val="32085AE3"/>
    <w:rsid w:val="327C2483"/>
    <w:rsid w:val="327F0D3B"/>
    <w:rsid w:val="32A22E31"/>
    <w:rsid w:val="330E5F16"/>
    <w:rsid w:val="331A4758"/>
    <w:rsid w:val="3369385E"/>
    <w:rsid w:val="33CA23C6"/>
    <w:rsid w:val="35073D21"/>
    <w:rsid w:val="359655D7"/>
    <w:rsid w:val="35C0542C"/>
    <w:rsid w:val="372B2789"/>
    <w:rsid w:val="37C11CFA"/>
    <w:rsid w:val="38196A86"/>
    <w:rsid w:val="384F06F9"/>
    <w:rsid w:val="395026E3"/>
    <w:rsid w:val="39A43A9C"/>
    <w:rsid w:val="3AE72E6B"/>
    <w:rsid w:val="3AFF33E8"/>
    <w:rsid w:val="3B4B212D"/>
    <w:rsid w:val="3B6A75F8"/>
    <w:rsid w:val="3C2D3B80"/>
    <w:rsid w:val="3D476359"/>
    <w:rsid w:val="3D9A658C"/>
    <w:rsid w:val="3DE10046"/>
    <w:rsid w:val="3DEE1D80"/>
    <w:rsid w:val="3DF338D5"/>
    <w:rsid w:val="3EA378DA"/>
    <w:rsid w:val="3EF73899"/>
    <w:rsid w:val="3F651E10"/>
    <w:rsid w:val="405C4659"/>
    <w:rsid w:val="4197550B"/>
    <w:rsid w:val="426C16E4"/>
    <w:rsid w:val="43130DAF"/>
    <w:rsid w:val="436D5EFA"/>
    <w:rsid w:val="43D85920"/>
    <w:rsid w:val="442F62DC"/>
    <w:rsid w:val="443B5FD6"/>
    <w:rsid w:val="45811CB2"/>
    <w:rsid w:val="459220B9"/>
    <w:rsid w:val="46DB7A17"/>
    <w:rsid w:val="48333FF5"/>
    <w:rsid w:val="485E6BC5"/>
    <w:rsid w:val="49FA5FEB"/>
    <w:rsid w:val="4A3E0C6F"/>
    <w:rsid w:val="4B914BF5"/>
    <w:rsid w:val="4BFA22D2"/>
    <w:rsid w:val="4C7D3400"/>
    <w:rsid w:val="4CB230FF"/>
    <w:rsid w:val="4D413CB4"/>
    <w:rsid w:val="4D821D41"/>
    <w:rsid w:val="4DA86482"/>
    <w:rsid w:val="4E582E83"/>
    <w:rsid w:val="4EE564B0"/>
    <w:rsid w:val="4F2D4EFA"/>
    <w:rsid w:val="4FFC159D"/>
    <w:rsid w:val="51CD3614"/>
    <w:rsid w:val="522400A9"/>
    <w:rsid w:val="531539E5"/>
    <w:rsid w:val="53D55AFF"/>
    <w:rsid w:val="53DA511B"/>
    <w:rsid w:val="53FC6986"/>
    <w:rsid w:val="54A60BE9"/>
    <w:rsid w:val="55866C5D"/>
    <w:rsid w:val="559A7000"/>
    <w:rsid w:val="55C81664"/>
    <w:rsid w:val="5628185A"/>
    <w:rsid w:val="56770AFB"/>
    <w:rsid w:val="573C6F55"/>
    <w:rsid w:val="57D63A28"/>
    <w:rsid w:val="57F95C42"/>
    <w:rsid w:val="581B6CF3"/>
    <w:rsid w:val="58527420"/>
    <w:rsid w:val="585F0652"/>
    <w:rsid w:val="58AB08AC"/>
    <w:rsid w:val="591A5625"/>
    <w:rsid w:val="5980136F"/>
    <w:rsid w:val="59DD58A1"/>
    <w:rsid w:val="5AA16827"/>
    <w:rsid w:val="5AE900E2"/>
    <w:rsid w:val="5C590701"/>
    <w:rsid w:val="5C625271"/>
    <w:rsid w:val="5C7F1F93"/>
    <w:rsid w:val="5CCE2A51"/>
    <w:rsid w:val="5D89084C"/>
    <w:rsid w:val="5DDE51E3"/>
    <w:rsid w:val="5E237D26"/>
    <w:rsid w:val="5E72647F"/>
    <w:rsid w:val="5E834DD9"/>
    <w:rsid w:val="5F236DE7"/>
    <w:rsid w:val="5FD517CA"/>
    <w:rsid w:val="608E3660"/>
    <w:rsid w:val="617B7B59"/>
    <w:rsid w:val="620B4DE2"/>
    <w:rsid w:val="621505DC"/>
    <w:rsid w:val="623A50C2"/>
    <w:rsid w:val="625D22A8"/>
    <w:rsid w:val="62746AE6"/>
    <w:rsid w:val="63025693"/>
    <w:rsid w:val="648D7D30"/>
    <w:rsid w:val="657340D8"/>
    <w:rsid w:val="65874EDE"/>
    <w:rsid w:val="65C0401D"/>
    <w:rsid w:val="662648F8"/>
    <w:rsid w:val="665F1537"/>
    <w:rsid w:val="66A13869"/>
    <w:rsid w:val="67D85B6C"/>
    <w:rsid w:val="68ED6A71"/>
    <w:rsid w:val="69317B0A"/>
    <w:rsid w:val="69F67FAD"/>
    <w:rsid w:val="6AB37828"/>
    <w:rsid w:val="6B6E3D88"/>
    <w:rsid w:val="6BE7369A"/>
    <w:rsid w:val="6C2E79CF"/>
    <w:rsid w:val="6C67192F"/>
    <w:rsid w:val="6CD428C2"/>
    <w:rsid w:val="6CE60189"/>
    <w:rsid w:val="6E04301E"/>
    <w:rsid w:val="6F135C55"/>
    <w:rsid w:val="6F215C44"/>
    <w:rsid w:val="6F5A2F04"/>
    <w:rsid w:val="732820F7"/>
    <w:rsid w:val="734D446A"/>
    <w:rsid w:val="73656534"/>
    <w:rsid w:val="740972B4"/>
    <w:rsid w:val="74C80B12"/>
    <w:rsid w:val="768637B5"/>
    <w:rsid w:val="76D417EE"/>
    <w:rsid w:val="77FE4FE3"/>
    <w:rsid w:val="78C830A0"/>
    <w:rsid w:val="78D36201"/>
    <w:rsid w:val="792F1A3C"/>
    <w:rsid w:val="79B5177D"/>
    <w:rsid w:val="79CD520C"/>
    <w:rsid w:val="7A463EB9"/>
    <w:rsid w:val="7A8377B3"/>
    <w:rsid w:val="7BBD0AA3"/>
    <w:rsid w:val="7C944826"/>
    <w:rsid w:val="7D9D4043"/>
    <w:rsid w:val="7E9D0BC6"/>
    <w:rsid w:val="7F872F20"/>
    <w:rsid w:val="7F8942DD"/>
    <w:rsid w:val="7FD20CF9"/>
    <w:rsid w:val="7FD2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spacing w:before="280" w:after="290" w:line="376" w:lineRule="auto"/>
      <w:outlineLvl w:val="4"/>
    </w:pPr>
    <w:rPr>
      <w:b/>
      <w:sz w:val="28"/>
      <w:szCs w:val="20"/>
    </w:rPr>
  </w:style>
  <w:style w:type="paragraph" w:styleId="8">
    <w:name w:val="heading 6"/>
    <w:basedOn w:val="1"/>
    <w:next w:val="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spacing w:before="240" w:after="64" w:line="320" w:lineRule="auto"/>
      <w:outlineLvl w:val="6"/>
    </w:pPr>
    <w:rPr>
      <w:b/>
      <w:sz w:val="24"/>
      <w:szCs w:val="20"/>
    </w:rPr>
  </w:style>
  <w:style w:type="paragraph" w:styleId="10">
    <w:name w:val="heading 8"/>
    <w:basedOn w:val="1"/>
    <w:next w:val="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12">
    <w:name w:val="toc 7"/>
    <w:basedOn w:val="1"/>
    <w:next w:val="1"/>
    <w:qFormat/>
    <w:uiPriority w:val="0"/>
    <w:pPr>
      <w:ind w:left="2520" w:leftChars="1200"/>
    </w:pPr>
    <w:rPr>
      <w:rFonts w:ascii="Cambria" w:hAnsi="Cambria"/>
      <w:szCs w:val="21"/>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99"/>
    <w:pPr>
      <w:jc w:val="left"/>
    </w:pPr>
    <w:rPr>
      <w:rFonts w:ascii="Cambria" w:hAnsi="Cambria"/>
      <w:szCs w:val="21"/>
    </w:rPr>
  </w:style>
  <w:style w:type="paragraph" w:styleId="15">
    <w:name w:val="Body Text 3"/>
    <w:basedOn w:val="1"/>
    <w:qFormat/>
    <w:uiPriority w:val="0"/>
    <w:pPr>
      <w:widowControl/>
      <w:ind w:right="720"/>
      <w:jc w:val="left"/>
    </w:pPr>
    <w:rPr>
      <w:kern w:val="0"/>
      <w:sz w:val="20"/>
      <w:szCs w:val="20"/>
      <w:lang w:eastAsia="en-US"/>
    </w:rPr>
  </w:style>
  <w:style w:type="paragraph" w:styleId="16">
    <w:name w:val="Body Text"/>
    <w:basedOn w:val="1"/>
    <w:qFormat/>
    <w:uiPriority w:val="0"/>
    <w:pPr>
      <w:tabs>
        <w:tab w:val="left" w:pos="567"/>
      </w:tabs>
      <w:spacing w:before="120" w:line="22" w:lineRule="atLeast"/>
    </w:pPr>
    <w:rPr>
      <w:rFonts w:ascii="宋体" w:hAnsi="宋体"/>
      <w:sz w:val="24"/>
    </w:rPr>
  </w:style>
  <w:style w:type="paragraph" w:styleId="17">
    <w:name w:val="Body Text Indent"/>
    <w:basedOn w:val="1"/>
    <w:qFormat/>
    <w:uiPriority w:val="0"/>
    <w:pPr>
      <w:spacing w:after="120"/>
      <w:ind w:left="420" w:leftChars="200"/>
    </w:pPr>
  </w:style>
  <w:style w:type="paragraph" w:styleId="18">
    <w:name w:val="toc 5"/>
    <w:basedOn w:val="1"/>
    <w:next w:val="1"/>
    <w:qFormat/>
    <w:uiPriority w:val="0"/>
    <w:pPr>
      <w:ind w:left="1680" w:leftChars="800"/>
    </w:pPr>
    <w:rPr>
      <w:rFonts w:ascii="Cambria" w:hAnsi="Cambria"/>
      <w:szCs w:val="21"/>
    </w:rPr>
  </w:style>
  <w:style w:type="paragraph" w:styleId="19">
    <w:name w:val="toc 3"/>
    <w:basedOn w:val="1"/>
    <w:next w:val="1"/>
    <w:qFormat/>
    <w:uiPriority w:val="0"/>
    <w:pPr>
      <w:ind w:left="840" w:leftChars="400"/>
    </w:pPr>
    <w:rPr>
      <w:rFonts w:ascii="Cambria" w:hAnsi="Cambria"/>
      <w:szCs w:val="21"/>
    </w:rPr>
  </w:style>
  <w:style w:type="paragraph" w:styleId="20">
    <w:name w:val="Plain Text"/>
    <w:basedOn w:val="1"/>
    <w:link w:val="48"/>
    <w:qFormat/>
    <w:uiPriority w:val="99"/>
    <w:rPr>
      <w:rFonts w:ascii="宋体" w:hAnsi="Courier New"/>
      <w:szCs w:val="20"/>
    </w:rPr>
  </w:style>
  <w:style w:type="paragraph" w:styleId="21">
    <w:name w:val="toc 8"/>
    <w:basedOn w:val="1"/>
    <w:next w:val="1"/>
    <w:qFormat/>
    <w:uiPriority w:val="0"/>
    <w:pPr>
      <w:ind w:left="2940" w:leftChars="1400"/>
    </w:pPr>
    <w:rPr>
      <w:rFonts w:ascii="Cambria" w:hAnsi="Cambria"/>
      <w:szCs w:val="21"/>
    </w:rPr>
  </w:style>
  <w:style w:type="paragraph" w:styleId="22">
    <w:name w:val="Date"/>
    <w:basedOn w:val="1"/>
    <w:next w:val="1"/>
    <w:link w:val="49"/>
    <w:qFormat/>
    <w:uiPriority w:val="0"/>
    <w:rPr>
      <w:szCs w:val="20"/>
    </w:rPr>
  </w:style>
  <w:style w:type="paragraph" w:styleId="23">
    <w:name w:val="Body Text Indent 2"/>
    <w:basedOn w:val="1"/>
    <w:qFormat/>
    <w:uiPriority w:val="0"/>
    <w:pPr>
      <w:ind w:firstLine="480" w:firstLineChars="200"/>
    </w:pPr>
    <w:rPr>
      <w:rFonts w:ascii="仿宋_GB2312" w:eastAsia="仿宋_GB2312"/>
      <w:sz w:val="24"/>
    </w:rPr>
  </w:style>
  <w:style w:type="paragraph" w:styleId="24">
    <w:name w:val="Balloon Text"/>
    <w:basedOn w:val="1"/>
    <w:semiHidden/>
    <w:qFormat/>
    <w:uiPriority w:val="0"/>
    <w:rPr>
      <w:sz w:val="18"/>
      <w:szCs w:val="18"/>
    </w:rPr>
  </w:style>
  <w:style w:type="paragraph" w:styleId="25">
    <w:name w:val="footer"/>
    <w:basedOn w:val="1"/>
    <w:link w:val="50"/>
    <w:qFormat/>
    <w:uiPriority w:val="99"/>
    <w:pPr>
      <w:tabs>
        <w:tab w:val="center" w:pos="4153"/>
        <w:tab w:val="right" w:pos="8306"/>
      </w:tabs>
      <w:snapToGrid w:val="0"/>
      <w:jc w:val="left"/>
    </w:pPr>
    <w:rPr>
      <w:sz w:val="18"/>
      <w:szCs w:val="18"/>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1"/>
      </w:tabs>
    </w:pPr>
    <w:rPr>
      <w:rFonts w:ascii="仿宋_GB2312" w:hAnsi="宋体" w:eastAsia="仿宋_GB2312" w:cs="仿宋_GB2312"/>
      <w:color w:val="000000"/>
      <w:szCs w:val="21"/>
    </w:rPr>
  </w:style>
  <w:style w:type="paragraph" w:styleId="28">
    <w:name w:val="toc 4"/>
    <w:basedOn w:val="1"/>
    <w:next w:val="1"/>
    <w:qFormat/>
    <w:uiPriority w:val="0"/>
    <w:pPr>
      <w:ind w:left="1260" w:leftChars="600"/>
    </w:pPr>
    <w:rPr>
      <w:rFonts w:ascii="Cambria" w:hAnsi="Cambria"/>
      <w:szCs w:val="21"/>
    </w:rPr>
  </w:style>
  <w:style w:type="paragraph" w:styleId="29">
    <w:name w:val="toc 6"/>
    <w:basedOn w:val="1"/>
    <w:next w:val="1"/>
    <w:qFormat/>
    <w:uiPriority w:val="0"/>
    <w:pPr>
      <w:ind w:left="2100" w:leftChars="1000"/>
    </w:pPr>
    <w:rPr>
      <w:rFonts w:ascii="Cambria" w:hAnsi="Cambria"/>
      <w:szCs w:val="21"/>
    </w:rPr>
  </w:style>
  <w:style w:type="paragraph" w:styleId="30">
    <w:name w:val="Body Text Indent 3"/>
    <w:basedOn w:val="1"/>
    <w:link w:val="52"/>
    <w:qFormat/>
    <w:uiPriority w:val="0"/>
    <w:pPr>
      <w:autoSpaceDE w:val="0"/>
      <w:autoSpaceDN w:val="0"/>
      <w:adjustRightInd w:val="0"/>
      <w:spacing w:before="120" w:line="22" w:lineRule="atLeast"/>
      <w:ind w:left="720" w:firstLine="480"/>
      <w:jc w:val="left"/>
    </w:pPr>
    <w:rPr>
      <w:rFonts w:ascii="宋体" w:hAnsi="Cambria" w:cs="宋体"/>
      <w:kern w:val="0"/>
      <w:sz w:val="24"/>
    </w:rPr>
  </w:style>
  <w:style w:type="paragraph" w:styleId="31">
    <w:name w:val="toc 2"/>
    <w:basedOn w:val="1"/>
    <w:next w:val="1"/>
    <w:qFormat/>
    <w:uiPriority w:val="0"/>
    <w:pPr>
      <w:spacing w:before="120" w:line="360" w:lineRule="auto"/>
    </w:pPr>
    <w:rPr>
      <w:rFonts w:ascii="仿宋_GB2312" w:hAnsi="宋体" w:eastAsia="仿宋_GB2312" w:cs="仿宋_GB2312"/>
      <w:b/>
      <w:bCs/>
      <w:sz w:val="24"/>
    </w:rPr>
  </w:style>
  <w:style w:type="paragraph" w:styleId="32">
    <w:name w:val="toc 9"/>
    <w:basedOn w:val="1"/>
    <w:next w:val="1"/>
    <w:qFormat/>
    <w:uiPriority w:val="0"/>
    <w:pPr>
      <w:ind w:left="3360" w:leftChars="1600"/>
    </w:pPr>
    <w:rPr>
      <w:rFonts w:ascii="Cambria" w:hAnsi="Cambria"/>
      <w:szCs w:val="21"/>
    </w:rPr>
  </w:style>
  <w:style w:type="paragraph" w:styleId="33">
    <w:name w:val="Body Text 2"/>
    <w:basedOn w:val="1"/>
    <w:qFormat/>
    <w:uiPriority w:val="0"/>
    <w:pPr>
      <w:widowControl/>
    </w:pPr>
    <w:rPr>
      <w:kern w:val="0"/>
      <w:sz w:val="20"/>
      <w:szCs w:val="20"/>
      <w:lang w:eastAsia="en-US"/>
    </w:rPr>
  </w:style>
  <w:style w:type="paragraph" w:styleId="3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35">
    <w:name w:val="index 1"/>
    <w:basedOn w:val="1"/>
    <w:next w:val="1"/>
    <w:qFormat/>
    <w:uiPriority w:val="0"/>
    <w:rPr>
      <w:rFonts w:ascii="Cambria" w:hAnsi="Cambria"/>
      <w:szCs w:val="21"/>
    </w:rPr>
  </w:style>
  <w:style w:type="paragraph" w:styleId="36">
    <w:name w:val="Title"/>
    <w:basedOn w:val="1"/>
    <w:qFormat/>
    <w:uiPriority w:val="0"/>
    <w:pPr>
      <w:jc w:val="center"/>
    </w:pPr>
    <w:rPr>
      <w:sz w:val="30"/>
    </w:rPr>
  </w:style>
  <w:style w:type="paragraph" w:styleId="37">
    <w:name w:val="annotation subject"/>
    <w:basedOn w:val="14"/>
    <w:next w:val="14"/>
    <w:link w:val="70"/>
    <w:qFormat/>
    <w:uiPriority w:val="0"/>
    <w:rPr>
      <w:rFonts w:ascii="Times New Roman" w:hAnsi="Times New Roman"/>
      <w:b/>
      <w:bCs/>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basedOn w:val="40"/>
    <w:qFormat/>
    <w:uiPriority w:val="99"/>
    <w:rPr>
      <w:sz w:val="21"/>
      <w:szCs w:val="21"/>
    </w:rPr>
  </w:style>
  <w:style w:type="character" w:customStyle="1" w:styleId="47">
    <w:name w:val="批注文字 字符"/>
    <w:link w:val="14"/>
    <w:qFormat/>
    <w:uiPriority w:val="99"/>
    <w:rPr>
      <w:rFonts w:ascii="Cambria" w:hAnsi="Cambria"/>
      <w:kern w:val="2"/>
      <w:sz w:val="21"/>
      <w:szCs w:val="21"/>
    </w:rPr>
  </w:style>
  <w:style w:type="character" w:customStyle="1" w:styleId="48">
    <w:name w:val="纯文本 字符"/>
    <w:link w:val="20"/>
    <w:qFormat/>
    <w:uiPriority w:val="99"/>
    <w:rPr>
      <w:rFonts w:ascii="宋体" w:hAnsi="Courier New"/>
      <w:kern w:val="2"/>
      <w:sz w:val="21"/>
    </w:rPr>
  </w:style>
  <w:style w:type="character" w:customStyle="1" w:styleId="49">
    <w:name w:val="日期 字符"/>
    <w:link w:val="22"/>
    <w:qFormat/>
    <w:uiPriority w:val="0"/>
    <w:rPr>
      <w:rFonts w:eastAsia="宋体"/>
      <w:kern w:val="2"/>
      <w:sz w:val="21"/>
      <w:lang w:val="en-US" w:eastAsia="zh-CN" w:bidi="ar-SA"/>
    </w:rPr>
  </w:style>
  <w:style w:type="character" w:customStyle="1" w:styleId="50">
    <w:name w:val="页脚 字符"/>
    <w:link w:val="25"/>
    <w:qFormat/>
    <w:uiPriority w:val="99"/>
    <w:rPr>
      <w:kern w:val="2"/>
      <w:sz w:val="18"/>
      <w:szCs w:val="18"/>
    </w:rPr>
  </w:style>
  <w:style w:type="character" w:customStyle="1" w:styleId="51">
    <w:name w:val="页眉 字符"/>
    <w:link w:val="26"/>
    <w:qFormat/>
    <w:uiPriority w:val="0"/>
    <w:rPr>
      <w:kern w:val="2"/>
      <w:sz w:val="18"/>
      <w:szCs w:val="18"/>
    </w:rPr>
  </w:style>
  <w:style w:type="character" w:customStyle="1" w:styleId="52">
    <w:name w:val="正文文本缩进 3 字符"/>
    <w:link w:val="30"/>
    <w:qFormat/>
    <w:uiPriority w:val="0"/>
    <w:rPr>
      <w:rFonts w:ascii="宋体" w:hAnsi="Cambria" w:cs="宋体"/>
      <w:sz w:val="24"/>
      <w:szCs w:val="24"/>
    </w:rPr>
  </w:style>
  <w:style w:type="character" w:customStyle="1" w:styleId="53">
    <w:name w:val="Char"/>
    <w:qFormat/>
    <w:uiPriority w:val="0"/>
    <w:rPr>
      <w:rFonts w:ascii="宋体" w:hAnsi="Courier New" w:eastAsia="宋体"/>
      <w:kern w:val="2"/>
      <w:sz w:val="21"/>
      <w:lang w:val="en-US" w:eastAsia="zh-CN" w:bidi="ar-SA"/>
    </w:rPr>
  </w:style>
  <w:style w:type="paragraph" w:customStyle="1" w:styleId="54">
    <w:name w:val="Char1"/>
    <w:basedOn w:val="1"/>
    <w:qFormat/>
    <w:uiPriority w:val="0"/>
    <w:rPr>
      <w:rFonts w:ascii="Tahoma" w:hAnsi="Tahoma"/>
      <w:sz w:val="24"/>
      <w:szCs w:val="20"/>
    </w:rPr>
  </w:style>
  <w:style w:type="paragraph" w:customStyle="1" w:styleId="55">
    <w:name w:val="彩色列表 - 强调文字颜色 11"/>
    <w:basedOn w:val="1"/>
    <w:qFormat/>
    <w:uiPriority w:val="34"/>
    <w:pPr>
      <w:ind w:firstLine="420" w:firstLineChars="200"/>
    </w:pPr>
    <w:rPr>
      <w:rFonts w:ascii="Calibri" w:hAnsi="Calibri"/>
      <w:szCs w:val="22"/>
    </w:rPr>
  </w:style>
  <w:style w:type="paragraph" w:customStyle="1" w:styleId="56">
    <w:name w:val="正文文本 21"/>
    <w:basedOn w:val="1"/>
    <w:qFormat/>
    <w:uiPriority w:val="0"/>
    <w:pPr>
      <w:adjustRightInd w:val="0"/>
      <w:spacing w:before="120" w:line="360" w:lineRule="auto"/>
      <w:ind w:firstLine="480"/>
      <w:textAlignment w:val="baseline"/>
    </w:pPr>
    <w:rPr>
      <w:sz w:val="24"/>
      <w:szCs w:val="20"/>
    </w:rPr>
  </w:style>
  <w:style w:type="paragraph" w:customStyle="1" w:styleId="57">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58">
    <w:name w:val="正文文本缩进 21"/>
    <w:basedOn w:val="1"/>
    <w:qFormat/>
    <w:uiPriority w:val="0"/>
    <w:pPr>
      <w:adjustRightInd w:val="0"/>
      <w:spacing w:before="120"/>
      <w:ind w:firstLine="420"/>
      <w:textAlignment w:val="baseline"/>
    </w:pPr>
    <w:rPr>
      <w:sz w:val="24"/>
      <w:szCs w:val="20"/>
    </w:rPr>
  </w:style>
  <w:style w:type="character" w:customStyle="1" w:styleId="59">
    <w:name w:val="Char2"/>
    <w:qFormat/>
    <w:uiPriority w:val="0"/>
    <w:rPr>
      <w:rFonts w:ascii="宋体" w:hAnsi="Courier New" w:eastAsia="宋体" w:cs="宋体"/>
      <w:kern w:val="2"/>
      <w:sz w:val="21"/>
      <w:szCs w:val="21"/>
      <w:lang w:val="en-US" w:eastAsia="zh-CN"/>
    </w:rPr>
  </w:style>
  <w:style w:type="paragraph" w:customStyle="1" w:styleId="60">
    <w:name w:val="标题1"/>
    <w:basedOn w:val="36"/>
    <w:qFormat/>
    <w:uiPriority w:val="0"/>
    <w:pPr>
      <w:spacing w:before="240" w:after="240"/>
      <w:outlineLvl w:val="0"/>
    </w:pPr>
    <w:rPr>
      <w:rFonts w:ascii="Arial" w:hAnsi="Arial" w:cs="Arial"/>
      <w:b/>
      <w:bCs/>
      <w:spacing w:val="2"/>
      <w:sz w:val="44"/>
      <w:szCs w:val="44"/>
    </w:rPr>
  </w:style>
  <w:style w:type="paragraph" w:customStyle="1" w:styleId="61">
    <w:name w:val="附录标题3"/>
    <w:basedOn w:val="1"/>
    <w:next w:val="4"/>
    <w:qFormat/>
    <w:uiPriority w:val="0"/>
    <w:pPr>
      <w:tabs>
        <w:tab w:val="left" w:pos="1080"/>
        <w:tab w:val="left" w:pos="2880"/>
      </w:tabs>
      <w:ind w:left="2880" w:hanging="720"/>
      <w:outlineLvl w:val="0"/>
    </w:pPr>
    <w:rPr>
      <w:rFonts w:ascii="Arial" w:hAnsi="Arial" w:cs="Arial"/>
      <w:sz w:val="24"/>
    </w:rPr>
  </w:style>
  <w:style w:type="paragraph" w:customStyle="1" w:styleId="62">
    <w:name w:val="样式"/>
    <w:basedOn w:val="1"/>
    <w:next w:val="20"/>
    <w:qFormat/>
    <w:uiPriority w:val="0"/>
    <w:rPr>
      <w:rFonts w:ascii="宋体" w:hAnsi="Courier New" w:cs="宋体"/>
      <w:szCs w:val="21"/>
    </w:rPr>
  </w:style>
  <w:style w:type="paragraph" w:customStyle="1" w:styleId="63">
    <w:name w:val="Char11"/>
    <w:basedOn w:val="1"/>
    <w:qFormat/>
    <w:uiPriority w:val="0"/>
    <w:rPr>
      <w:rFonts w:ascii="Tahoma" w:hAnsi="Tahoma"/>
      <w:sz w:val="24"/>
      <w:szCs w:val="20"/>
    </w:rPr>
  </w:style>
  <w:style w:type="paragraph" w:customStyle="1" w:styleId="64">
    <w:name w:val="Char Char Char Char"/>
    <w:basedOn w:val="1"/>
    <w:qFormat/>
    <w:uiPriority w:val="0"/>
    <w:pPr>
      <w:spacing w:after="160" w:line="240" w:lineRule="exact"/>
    </w:pPr>
    <w:rPr>
      <w:rFonts w:ascii="Cambria" w:hAnsi="Cambria"/>
      <w:szCs w:val="21"/>
    </w:rPr>
  </w:style>
  <w:style w:type="paragraph" w:customStyle="1" w:styleId="65">
    <w:name w:val="trs_editor"/>
    <w:basedOn w:val="1"/>
    <w:qFormat/>
    <w:uiPriority w:val="0"/>
    <w:pPr>
      <w:widowControl/>
      <w:spacing w:before="100" w:beforeAutospacing="1" w:after="100" w:afterAutospacing="1"/>
      <w:jc w:val="left"/>
    </w:pPr>
    <w:rPr>
      <w:rFonts w:ascii="宋体" w:hAnsi="宋体" w:cs="宋体"/>
      <w:kern w:val="0"/>
      <w:sz w:val="24"/>
    </w:rPr>
  </w:style>
  <w:style w:type="paragraph" w:styleId="66">
    <w:name w:val="List Paragraph"/>
    <w:basedOn w:val="1"/>
    <w:qFormat/>
    <w:uiPriority w:val="34"/>
    <w:pPr>
      <w:ind w:left="205" w:right="169" w:firstLine="655"/>
    </w:pPr>
    <w:rPr>
      <w:rFonts w:ascii="Cambria" w:hAnsi="Cambria"/>
      <w:szCs w:val="21"/>
    </w:rPr>
  </w:style>
  <w:style w:type="table" w:customStyle="1" w:styleId="67">
    <w:name w:val="Table Normal"/>
    <w:unhideWhenUsed/>
    <w:qFormat/>
    <w:uiPriority w:val="2"/>
    <w:pPr>
      <w:widowControl w:val="0"/>
      <w:autoSpaceDE w:val="0"/>
      <w:autoSpaceDN w:val="0"/>
    </w:pPr>
    <w:rPr>
      <w:rFonts w:ascii="Cambria" w:hAnsi="Cambria"/>
      <w:sz w:val="22"/>
      <w:szCs w:val="22"/>
      <w:lang w:eastAsia="en-US"/>
    </w:rPr>
    <w:tblPr>
      <w:tblCellMar>
        <w:top w:w="0" w:type="dxa"/>
        <w:left w:w="0" w:type="dxa"/>
        <w:bottom w:w="0" w:type="dxa"/>
        <w:right w:w="0" w:type="dxa"/>
      </w:tblCellMar>
    </w:tblPr>
  </w:style>
  <w:style w:type="paragraph" w:customStyle="1" w:styleId="6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69">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70">
    <w:name w:val="批注主题 字符"/>
    <w:basedOn w:val="47"/>
    <w:link w:val="37"/>
    <w:qFormat/>
    <w:uiPriority w:val="0"/>
    <w:rPr>
      <w:rFonts w:ascii="Cambria" w:hAnsi="Cambria"/>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12</Pages>
  <Words>3035</Words>
  <Characters>3455</Characters>
  <Lines>1518</Lines>
  <Paragraphs>1417</Paragraphs>
  <TotalTime>6</TotalTime>
  <ScaleCrop>false</ScaleCrop>
  <LinksUpToDate>false</LinksUpToDate>
  <CharactersWithSpaces>3588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2022-06-01T03:50:00Z</dcterms:created>
  <dc:creator>caowuning</dc:creator>
  <cp:lastModifiedBy>C.X.F</cp:lastModifiedBy>
  <cp:lastPrinted>2009-04-21T09:03:00Z</cp:lastPrinted>
  <dcterms:modified xsi:type="dcterms:W3CDTF">2025-09-28T06:30:42Z</dcterms:modified>
  <dc:title>北 京 市 政 府 采 购</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AA1144723EB341BDA6761B9780FA2385_13</vt:lpwstr>
  </property>
  <property fmtid="{D5CDD505-2E9C-101B-9397-08002B2CF9AE}" pid="4" name="KSOTemplateDocerSaveRecord">
    <vt:lpwstr>eyJoZGlkIjoiY2I5NTFkMDYyZjhhYjE2OGVmNDJkNzA2YTE0NzcwODMiLCJ1c2VySWQiOiI3MTgzNDAyNjIifQ==</vt:lpwstr>
  </property>
</Properties>
</file>