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D56FA">
      <w:pPr>
        <w:autoSpaceDE w:val="0"/>
        <w:autoSpaceDN w:val="0"/>
        <w:adjustRightInd w:val="0"/>
        <w:spacing w:line="360" w:lineRule="auto"/>
        <w:jc w:val="center"/>
        <w:outlineLvl w:val="0"/>
        <w:rPr>
          <w:b/>
          <w:color w:val="auto"/>
          <w:sz w:val="24"/>
          <w:highlight w:val="none"/>
        </w:rPr>
      </w:pPr>
      <w:r>
        <w:rPr>
          <w:b/>
          <w:color w:val="auto"/>
          <w:kern w:val="0"/>
          <w:sz w:val="36"/>
          <w:szCs w:val="36"/>
          <w:highlight w:val="none"/>
        </w:rPr>
        <w:t>项目需求</w:t>
      </w:r>
      <w:bookmarkStart w:id="9" w:name="_GoBack"/>
      <w:bookmarkEnd w:id="9"/>
    </w:p>
    <w:p w14:paraId="44E18F5C">
      <w:pPr>
        <w:pStyle w:val="2"/>
        <w:rPr>
          <w:rFonts w:ascii="Times New Roman" w:hAnsi="Times New Roman"/>
          <w:color w:val="auto"/>
          <w:highlight w:val="none"/>
        </w:rPr>
      </w:pPr>
    </w:p>
    <w:p w14:paraId="1558A176">
      <w:pPr>
        <w:rPr>
          <w:color w:val="auto"/>
          <w:highlight w:val="none"/>
        </w:rPr>
      </w:pPr>
    </w:p>
    <w:p w14:paraId="4056DDA5">
      <w:pPr>
        <w:tabs>
          <w:tab w:val="left" w:pos="1560"/>
        </w:tabs>
        <w:adjustRightInd w:val="0"/>
        <w:snapToGrid w:val="0"/>
        <w:jc w:val="center"/>
        <w:rPr>
          <w:rFonts w:hint="eastAsia"/>
          <w:b/>
          <w:color w:val="auto"/>
          <w:sz w:val="30"/>
          <w:szCs w:val="30"/>
          <w:highlight w:val="none"/>
        </w:rPr>
      </w:pPr>
      <w:r>
        <w:rPr>
          <w:b/>
          <w:color w:val="auto"/>
          <w:sz w:val="30"/>
          <w:szCs w:val="30"/>
          <w:highlight w:val="none"/>
        </w:rPr>
        <w:t>一、货物需求一览表</w:t>
      </w:r>
    </w:p>
    <w:p w14:paraId="54E29FF6">
      <w:pPr>
        <w:pStyle w:val="3"/>
        <w:rPr>
          <w:rFonts w:ascii="Times New Roman" w:hAnsi="Times New Roman"/>
          <w:color w:val="auto"/>
          <w:highlight w:val="none"/>
        </w:rPr>
      </w:pPr>
    </w:p>
    <w:p w14:paraId="26C487D8">
      <w:pPr>
        <w:pStyle w:val="3"/>
        <w:rPr>
          <w:rFonts w:hint="eastAsia" w:ascii="Times New Roman" w:hAnsi="Times New Roman"/>
          <w:color w:val="auto"/>
          <w:highlight w:val="none"/>
        </w:rPr>
      </w:pPr>
    </w:p>
    <w:tbl>
      <w:tblPr>
        <w:tblStyle w:val="4"/>
        <w:tblW w:w="91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95"/>
        <w:gridCol w:w="1941"/>
        <w:gridCol w:w="1233"/>
        <w:gridCol w:w="2552"/>
        <w:gridCol w:w="2537"/>
      </w:tblGrid>
      <w:tr w14:paraId="615F1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63" w:hRule="atLeast"/>
          <w:jc w:val="center"/>
        </w:trPr>
        <w:tc>
          <w:tcPr>
            <w:tcW w:w="895" w:type="dxa"/>
            <w:noWrap w:val="0"/>
            <w:vAlign w:val="center"/>
          </w:tcPr>
          <w:p w14:paraId="31D9D741">
            <w:pPr>
              <w:jc w:val="center"/>
              <w:rPr>
                <w:color w:val="auto"/>
                <w:sz w:val="24"/>
                <w:highlight w:val="none"/>
              </w:rPr>
            </w:pPr>
            <w:r>
              <w:rPr>
                <w:color w:val="auto"/>
                <w:sz w:val="24"/>
                <w:highlight w:val="none"/>
              </w:rPr>
              <w:t>包号</w:t>
            </w:r>
          </w:p>
        </w:tc>
        <w:tc>
          <w:tcPr>
            <w:tcW w:w="1941" w:type="dxa"/>
            <w:noWrap w:val="0"/>
            <w:vAlign w:val="center"/>
          </w:tcPr>
          <w:p w14:paraId="10D6B6AA">
            <w:pPr>
              <w:jc w:val="center"/>
              <w:rPr>
                <w:color w:val="auto"/>
                <w:sz w:val="24"/>
                <w:highlight w:val="none"/>
              </w:rPr>
            </w:pPr>
            <w:r>
              <w:rPr>
                <w:color w:val="auto"/>
                <w:sz w:val="24"/>
                <w:highlight w:val="none"/>
              </w:rPr>
              <w:t>货物名称</w:t>
            </w:r>
          </w:p>
        </w:tc>
        <w:tc>
          <w:tcPr>
            <w:tcW w:w="1233" w:type="dxa"/>
            <w:noWrap w:val="0"/>
            <w:vAlign w:val="center"/>
          </w:tcPr>
          <w:p w14:paraId="6E582A7A">
            <w:pPr>
              <w:jc w:val="center"/>
              <w:rPr>
                <w:color w:val="auto"/>
                <w:sz w:val="24"/>
                <w:highlight w:val="none"/>
              </w:rPr>
            </w:pPr>
            <w:r>
              <w:rPr>
                <w:color w:val="auto"/>
                <w:sz w:val="24"/>
                <w:highlight w:val="none"/>
              </w:rPr>
              <w:t>数量</w:t>
            </w:r>
          </w:p>
        </w:tc>
        <w:tc>
          <w:tcPr>
            <w:tcW w:w="2552" w:type="dxa"/>
            <w:noWrap w:val="0"/>
            <w:vAlign w:val="center"/>
          </w:tcPr>
          <w:p w14:paraId="2B1B53BB">
            <w:pPr>
              <w:jc w:val="center"/>
              <w:rPr>
                <w:color w:val="auto"/>
                <w:sz w:val="24"/>
                <w:highlight w:val="none"/>
              </w:rPr>
            </w:pPr>
            <w:r>
              <w:rPr>
                <w:color w:val="auto"/>
                <w:sz w:val="24"/>
                <w:highlight w:val="none"/>
              </w:rPr>
              <w:t>交货期</w:t>
            </w:r>
          </w:p>
        </w:tc>
        <w:tc>
          <w:tcPr>
            <w:tcW w:w="2537" w:type="dxa"/>
            <w:noWrap w:val="0"/>
            <w:vAlign w:val="center"/>
          </w:tcPr>
          <w:p w14:paraId="6F9EF654">
            <w:pPr>
              <w:jc w:val="center"/>
              <w:rPr>
                <w:color w:val="auto"/>
                <w:sz w:val="24"/>
                <w:highlight w:val="none"/>
                <w:shd w:val="pct10" w:color="auto" w:fill="FFFFFF"/>
              </w:rPr>
            </w:pPr>
            <w:r>
              <w:rPr>
                <w:color w:val="auto"/>
                <w:sz w:val="24"/>
                <w:highlight w:val="none"/>
              </w:rPr>
              <w:t>交付地点</w:t>
            </w:r>
          </w:p>
        </w:tc>
      </w:tr>
      <w:tr w14:paraId="3A32A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523" w:hRule="atLeast"/>
          <w:jc w:val="center"/>
        </w:trPr>
        <w:tc>
          <w:tcPr>
            <w:tcW w:w="895" w:type="dxa"/>
            <w:noWrap w:val="0"/>
            <w:vAlign w:val="center"/>
          </w:tcPr>
          <w:p w14:paraId="3A61BE37">
            <w:pPr>
              <w:jc w:val="center"/>
              <w:rPr>
                <w:color w:val="auto"/>
                <w:sz w:val="24"/>
                <w:highlight w:val="none"/>
              </w:rPr>
            </w:pPr>
            <w:r>
              <w:rPr>
                <w:color w:val="auto"/>
                <w:sz w:val="24"/>
                <w:highlight w:val="none"/>
              </w:rPr>
              <w:t>1</w:t>
            </w:r>
          </w:p>
        </w:tc>
        <w:tc>
          <w:tcPr>
            <w:tcW w:w="1941" w:type="dxa"/>
            <w:tcBorders>
              <w:top w:val="single" w:color="auto" w:sz="4" w:space="0"/>
              <w:left w:val="single" w:color="auto" w:sz="4" w:space="0"/>
              <w:bottom w:val="single" w:color="auto" w:sz="4" w:space="0"/>
              <w:right w:val="single" w:color="auto" w:sz="4" w:space="0"/>
            </w:tcBorders>
            <w:noWrap w:val="0"/>
            <w:vAlign w:val="center"/>
          </w:tcPr>
          <w:p w14:paraId="17BA1160">
            <w:pPr>
              <w:jc w:val="center"/>
              <w:rPr>
                <w:bCs/>
                <w:color w:val="auto"/>
                <w:sz w:val="24"/>
                <w:highlight w:val="none"/>
              </w:rPr>
            </w:pPr>
            <w:r>
              <w:rPr>
                <w:rFonts w:hint="eastAsia" w:ascii="宋体" w:hAnsi="宋体" w:cs="宋体"/>
                <w:color w:val="auto"/>
                <w:kern w:val="0"/>
                <w:sz w:val="24"/>
                <w:highlight w:val="none"/>
              </w:rPr>
              <w:t>reel-to-reel离子束辅助沉积</w:t>
            </w:r>
          </w:p>
        </w:tc>
        <w:tc>
          <w:tcPr>
            <w:tcW w:w="1233" w:type="dxa"/>
            <w:tcBorders>
              <w:top w:val="single" w:color="auto" w:sz="4" w:space="0"/>
              <w:left w:val="single" w:color="auto" w:sz="4" w:space="0"/>
              <w:bottom w:val="single" w:color="auto" w:sz="4" w:space="0"/>
              <w:right w:val="single" w:color="auto" w:sz="4" w:space="0"/>
            </w:tcBorders>
            <w:noWrap w:val="0"/>
            <w:vAlign w:val="center"/>
          </w:tcPr>
          <w:p w14:paraId="3E8C8493">
            <w:pPr>
              <w:jc w:val="center"/>
              <w:rPr>
                <w:color w:val="auto"/>
                <w:kern w:val="0"/>
                <w:sz w:val="24"/>
                <w:highlight w:val="none"/>
              </w:rPr>
            </w:pPr>
            <w:r>
              <w:rPr>
                <w:rFonts w:ascii="宋体" w:hAnsi="宋体" w:cs="宋体"/>
                <w:color w:val="auto"/>
                <w:kern w:val="0"/>
                <w:sz w:val="24"/>
                <w:highlight w:val="none"/>
              </w:rPr>
              <w:t>1</w:t>
            </w:r>
            <w:r>
              <w:rPr>
                <w:rFonts w:hint="eastAsia" w:ascii="宋体" w:hAnsi="宋体" w:cs="宋体"/>
                <w:color w:val="auto"/>
                <w:kern w:val="0"/>
                <w:sz w:val="24"/>
                <w:highlight w:val="none"/>
              </w:rPr>
              <w:t>套</w:t>
            </w:r>
          </w:p>
        </w:tc>
        <w:tc>
          <w:tcPr>
            <w:tcW w:w="2552" w:type="dxa"/>
            <w:noWrap w:val="0"/>
            <w:vAlign w:val="center"/>
          </w:tcPr>
          <w:p w14:paraId="37FBEC96">
            <w:pPr>
              <w:pStyle w:val="2"/>
              <w:spacing w:before="0" w:line="240" w:lineRule="auto"/>
              <w:jc w:val="center"/>
              <w:rPr>
                <w:rFonts w:hint="eastAsia"/>
                <w:color w:val="auto"/>
                <w:highlight w:val="none"/>
              </w:rPr>
            </w:pPr>
            <w:r>
              <w:rPr>
                <w:rFonts w:hint="eastAsia"/>
                <w:color w:val="auto"/>
                <w:highlight w:val="none"/>
              </w:rPr>
              <w:t>合同签订后的15个月内交货</w:t>
            </w:r>
          </w:p>
        </w:tc>
        <w:tc>
          <w:tcPr>
            <w:tcW w:w="2537" w:type="dxa"/>
            <w:noWrap w:val="0"/>
            <w:vAlign w:val="center"/>
          </w:tcPr>
          <w:p w14:paraId="348B6FA4">
            <w:pPr>
              <w:jc w:val="center"/>
              <w:rPr>
                <w:color w:val="auto"/>
                <w:sz w:val="24"/>
                <w:highlight w:val="none"/>
              </w:rPr>
            </w:pPr>
            <w:bookmarkStart w:id="0" w:name="_Hlk148629753"/>
            <w:r>
              <w:rPr>
                <w:rFonts w:hint="eastAsia" w:ascii="宋体" w:hAnsi="宋体" w:cs="宋体"/>
                <w:color w:val="auto"/>
                <w:kern w:val="0"/>
                <w:sz w:val="24"/>
                <w:highlight w:val="none"/>
              </w:rPr>
              <w:t>中国科学院电工研究所用户指定地点</w:t>
            </w:r>
            <w:bookmarkEnd w:id="0"/>
          </w:p>
        </w:tc>
      </w:tr>
    </w:tbl>
    <w:p w14:paraId="3DD793A4">
      <w:pPr>
        <w:pStyle w:val="2"/>
        <w:rPr>
          <w:rFonts w:ascii="Times New Roman" w:hAnsi="Times New Roman"/>
          <w:color w:val="auto"/>
          <w:highlight w:val="none"/>
        </w:rPr>
      </w:pPr>
    </w:p>
    <w:p w14:paraId="785D2DB4">
      <w:pPr>
        <w:spacing w:line="360" w:lineRule="auto"/>
        <w:rPr>
          <w:color w:val="auto"/>
          <w:szCs w:val="21"/>
          <w:highlight w:val="none"/>
        </w:rPr>
      </w:pPr>
      <w:r>
        <w:rPr>
          <w:color w:val="auto"/>
          <w:sz w:val="24"/>
          <w:highlight w:val="none"/>
        </w:rPr>
        <w:t>注：</w:t>
      </w:r>
      <w:r>
        <w:rPr>
          <w:rFonts w:hint="eastAsia"/>
          <w:color w:val="auto"/>
          <w:sz w:val="24"/>
          <w:highlight w:val="none"/>
        </w:rPr>
        <w:t>本项目共一个包，</w:t>
      </w:r>
      <w:r>
        <w:rPr>
          <w:color w:val="auto"/>
          <w:sz w:val="24"/>
          <w:highlight w:val="none"/>
        </w:rPr>
        <w:t>投标人须对上述投标内容中完整的一包进行</w:t>
      </w:r>
      <w:r>
        <w:rPr>
          <w:rFonts w:hint="eastAsia"/>
          <w:color w:val="auto"/>
          <w:sz w:val="24"/>
          <w:highlight w:val="none"/>
        </w:rPr>
        <w:t>投标</w:t>
      </w:r>
      <w:r>
        <w:rPr>
          <w:color w:val="auto"/>
          <w:sz w:val="24"/>
          <w:highlight w:val="none"/>
        </w:rPr>
        <w:t>响应，不完整的投标将视为非响应性投标予以拒绝。</w:t>
      </w:r>
    </w:p>
    <w:p w14:paraId="020A3045">
      <w:pPr>
        <w:adjustRightInd w:val="0"/>
        <w:snapToGrid w:val="0"/>
        <w:rPr>
          <w:color w:val="auto"/>
          <w:szCs w:val="21"/>
          <w:highlight w:val="none"/>
        </w:rPr>
      </w:pPr>
    </w:p>
    <w:p w14:paraId="2526C497">
      <w:pPr>
        <w:pStyle w:val="3"/>
        <w:rPr>
          <w:color w:val="auto"/>
          <w:highlight w:val="none"/>
        </w:rPr>
      </w:pPr>
      <w:r>
        <w:rPr>
          <w:color w:val="auto"/>
          <w:highlight w:val="none"/>
        </w:rPr>
        <w:br w:type="page"/>
      </w:r>
    </w:p>
    <w:p w14:paraId="0841BA8F">
      <w:pPr>
        <w:tabs>
          <w:tab w:val="left" w:pos="720"/>
        </w:tabs>
        <w:adjustRightInd w:val="0"/>
        <w:snapToGrid w:val="0"/>
        <w:jc w:val="center"/>
        <w:rPr>
          <w:b/>
          <w:color w:val="auto"/>
          <w:sz w:val="32"/>
          <w:szCs w:val="32"/>
          <w:highlight w:val="none"/>
        </w:rPr>
      </w:pPr>
      <w:r>
        <w:rPr>
          <w:b/>
          <w:color w:val="auto"/>
          <w:sz w:val="32"/>
          <w:szCs w:val="32"/>
          <w:highlight w:val="none"/>
        </w:rPr>
        <w:t>二、总则</w:t>
      </w:r>
    </w:p>
    <w:p w14:paraId="0FA833D9">
      <w:pPr>
        <w:spacing w:before="156" w:beforeLines="50" w:after="156" w:afterLines="50" w:line="360" w:lineRule="auto"/>
        <w:ind w:left="601" w:hanging="601"/>
        <w:rPr>
          <w:b/>
          <w:color w:val="auto"/>
          <w:sz w:val="28"/>
          <w:highlight w:val="none"/>
        </w:rPr>
      </w:pPr>
      <w:r>
        <w:rPr>
          <w:b/>
          <w:color w:val="auto"/>
          <w:sz w:val="28"/>
          <w:highlight w:val="none"/>
        </w:rPr>
        <w:t>1、投标要求</w:t>
      </w:r>
    </w:p>
    <w:p w14:paraId="2F3D0051">
      <w:pPr>
        <w:spacing w:line="360" w:lineRule="auto"/>
        <w:ind w:left="554" w:hanging="554" w:hangingChars="231"/>
        <w:rPr>
          <w:color w:val="auto"/>
          <w:sz w:val="24"/>
          <w:highlight w:val="none"/>
        </w:rPr>
      </w:pPr>
      <w:r>
        <w:rPr>
          <w:color w:val="auto"/>
          <w:sz w:val="24"/>
          <w:highlight w:val="none"/>
        </w:rPr>
        <w:t>1.1  供应商在准备投标文件时，务必在所提供的商品的技术规格文件中，标明型号、商标名称、目录号。</w:t>
      </w:r>
    </w:p>
    <w:p w14:paraId="5A9D397E">
      <w:pPr>
        <w:spacing w:line="360" w:lineRule="auto"/>
        <w:ind w:left="554" w:hanging="554" w:hangingChars="231"/>
        <w:rPr>
          <w:color w:val="auto"/>
          <w:sz w:val="24"/>
          <w:highlight w:val="none"/>
        </w:rPr>
      </w:pPr>
      <w:r>
        <w:rPr>
          <w:color w:val="auto"/>
          <w:sz w:val="24"/>
          <w:highlight w:val="none"/>
        </w:rPr>
        <w:t xml:space="preserve">1.2  </w:t>
      </w:r>
      <w:r>
        <w:rPr>
          <w:b/>
          <w:bCs/>
          <w:color w:val="auto"/>
          <w:sz w:val="24"/>
          <w:highlight w:val="none"/>
        </w:rPr>
        <w:t>供应商提供的货物须是成熟的全新的产品</w:t>
      </w:r>
      <w:r>
        <w:rPr>
          <w:color w:val="auto"/>
          <w:sz w:val="24"/>
          <w:highlight w:val="none"/>
        </w:rPr>
        <w:t>，其技术规格应符合采购文件的要求。如与采购文件的技术规格有偏差，应提供技术规格偏差的量值或说明（偏离表）。如供应商有意隐瞒对规格要求的偏差或在开标后提出新的偏差，采购人有权拒绝其投标。</w:t>
      </w:r>
    </w:p>
    <w:p w14:paraId="2CE94F55">
      <w:pPr>
        <w:spacing w:line="360" w:lineRule="auto"/>
        <w:ind w:left="554" w:hanging="554" w:hangingChars="231"/>
        <w:rPr>
          <w:color w:val="auto"/>
          <w:sz w:val="24"/>
          <w:highlight w:val="none"/>
        </w:rPr>
      </w:pPr>
      <w:r>
        <w:rPr>
          <w:color w:val="auto"/>
          <w:sz w:val="24"/>
          <w:highlight w:val="none"/>
        </w:rPr>
        <w:t>1.3  供应商提供的产品样本，必须是“原件”而非复印件，图表、简图、电路图以及印刷电路板图等都应清晰易读。采购人有权不付任何附加费用复制这些资料以供参考。</w:t>
      </w:r>
    </w:p>
    <w:p w14:paraId="32614B26">
      <w:pPr>
        <w:spacing w:line="360" w:lineRule="auto"/>
        <w:ind w:left="554" w:hanging="554" w:hangingChars="231"/>
        <w:rPr>
          <w:color w:val="auto"/>
          <w:sz w:val="24"/>
          <w:highlight w:val="none"/>
        </w:rPr>
      </w:pPr>
      <w:r>
        <w:rPr>
          <w:color w:val="auto"/>
          <w:sz w:val="24"/>
          <w:highlight w:val="none"/>
        </w:rPr>
        <w:t>1.4  供应商的投标产品应符合国家有关部门规定的相应技术、节能、安全和环保标准；如国家有关部门对供应商的投标产品有强制性规定或要求的，则供应商的投标产品必须符合相应规定或要求。</w:t>
      </w:r>
    </w:p>
    <w:p w14:paraId="12102E62">
      <w:pPr>
        <w:spacing w:before="156" w:beforeLines="50" w:after="156" w:afterLines="50" w:line="360" w:lineRule="auto"/>
        <w:ind w:left="601" w:hanging="601"/>
        <w:rPr>
          <w:b/>
          <w:color w:val="auto"/>
          <w:sz w:val="28"/>
          <w:highlight w:val="none"/>
        </w:rPr>
      </w:pPr>
      <w:r>
        <w:rPr>
          <w:b/>
          <w:color w:val="auto"/>
          <w:sz w:val="28"/>
          <w:highlight w:val="none"/>
        </w:rPr>
        <w:t>2、评标标准</w:t>
      </w:r>
    </w:p>
    <w:p w14:paraId="26A7DE71">
      <w:pPr>
        <w:spacing w:line="360" w:lineRule="auto"/>
        <w:ind w:left="554" w:hanging="554" w:hangingChars="231"/>
        <w:rPr>
          <w:color w:val="auto"/>
          <w:sz w:val="24"/>
          <w:highlight w:val="none"/>
        </w:rPr>
      </w:pPr>
      <w:r>
        <w:rPr>
          <w:color w:val="auto"/>
          <w:sz w:val="24"/>
          <w:highlight w:val="none"/>
        </w:rPr>
        <w:t>2.1  除采购文件中指定的附件和专用工具外，供应商应提供货物的正常运行和常规保养所需的全套标准附件、专用工具和消耗品。供应商在投标书中需列出这些附件和工具的数量和单价的清单，这些附件和工具的报价的总值需计入投标价中。</w:t>
      </w:r>
    </w:p>
    <w:p w14:paraId="67B7F87B">
      <w:pPr>
        <w:spacing w:line="360" w:lineRule="auto"/>
        <w:ind w:left="554" w:hanging="554" w:hangingChars="231"/>
        <w:rPr>
          <w:color w:val="auto"/>
          <w:sz w:val="24"/>
          <w:highlight w:val="none"/>
        </w:rPr>
      </w:pPr>
      <w:r>
        <w:rPr>
          <w:color w:val="auto"/>
          <w:sz w:val="24"/>
          <w:highlight w:val="none"/>
        </w:rPr>
        <w:t>2.2  对于标书技术规范中已列出的作为查询选件的附件、零配件、专用工具和消耗品，投标文件中应列明其数量、单价、总价供采购人参考。供应商也可推荐采购人没有要求的附件或专用工具作为选件，并列明其数量、单价、总价供采购人参考。选件价格不计入评标价中。选件一旦为采购人用户接受，其费用将加入合同价中。</w:t>
      </w:r>
    </w:p>
    <w:p w14:paraId="667B4001">
      <w:pPr>
        <w:spacing w:line="360" w:lineRule="auto"/>
        <w:ind w:left="554" w:hanging="554" w:hangingChars="231"/>
        <w:rPr>
          <w:color w:val="auto"/>
          <w:sz w:val="24"/>
          <w:highlight w:val="none"/>
        </w:rPr>
      </w:pPr>
      <w:r>
        <w:rPr>
          <w:color w:val="auto"/>
          <w:sz w:val="24"/>
          <w:highlight w:val="none"/>
        </w:rPr>
        <w:t>2.3  为便于用户进行接收</w:t>
      </w:r>
      <w:r>
        <w:rPr>
          <w:rFonts w:hint="eastAsia"/>
          <w:color w:val="auto"/>
          <w:sz w:val="24"/>
          <w:highlight w:val="none"/>
        </w:rPr>
        <w:t>货物</w:t>
      </w:r>
      <w:r>
        <w:rPr>
          <w:color w:val="auto"/>
          <w:sz w:val="24"/>
          <w:highlight w:val="none"/>
        </w:rPr>
        <w:t>的准备工作，供应商应在合同生效后</w:t>
      </w:r>
      <w:r>
        <w:rPr>
          <w:b/>
          <w:color w:val="auto"/>
          <w:sz w:val="24"/>
          <w:highlight w:val="none"/>
        </w:rPr>
        <w:t>60</w:t>
      </w:r>
      <w:r>
        <w:rPr>
          <w:color w:val="auto"/>
          <w:sz w:val="24"/>
          <w:highlight w:val="none"/>
        </w:rPr>
        <w:t>天内向用户提供一套完整的使用说明书、操作手册、维修及安装说明等文件。另一套完整上述资料应在交货时随货包装提供给用户，这些费用应计入投标价中。</w:t>
      </w:r>
    </w:p>
    <w:p w14:paraId="4DAE2F91">
      <w:pPr>
        <w:spacing w:line="360" w:lineRule="auto"/>
        <w:ind w:left="554" w:hanging="554" w:hangingChars="231"/>
        <w:rPr>
          <w:color w:val="auto"/>
          <w:sz w:val="24"/>
          <w:highlight w:val="none"/>
        </w:rPr>
      </w:pPr>
      <w:r>
        <w:rPr>
          <w:color w:val="auto"/>
          <w:sz w:val="24"/>
          <w:highlight w:val="none"/>
        </w:rPr>
        <w:t>2.4  关于货物的安装调试，如果有必要的安装准备条件，供应商应在合同生效后一个月内向采购人提出详细的要求或计划。安装调试的费用应计入投标价中，并应单独列出，供评标使用。</w:t>
      </w:r>
    </w:p>
    <w:p w14:paraId="2D195FA3">
      <w:pPr>
        <w:spacing w:line="360" w:lineRule="auto"/>
        <w:ind w:left="554" w:hanging="554" w:hangingChars="231"/>
        <w:rPr>
          <w:color w:val="auto"/>
          <w:sz w:val="24"/>
          <w:highlight w:val="none"/>
        </w:rPr>
      </w:pPr>
      <w:r>
        <w:rPr>
          <w:color w:val="auto"/>
          <w:sz w:val="24"/>
          <w:highlight w:val="none"/>
        </w:rPr>
        <w:t>2.5  制造厂家提供的培训指的是涉及货物的基本原理、操作使用和保养维修等有关内容的培训。培训教员的培训费、旅费、食宿费等费用和培训场地费及培训资料费均应由供应商支付。</w:t>
      </w:r>
    </w:p>
    <w:p w14:paraId="22550057">
      <w:pPr>
        <w:spacing w:before="156" w:beforeLines="50" w:after="156" w:afterLines="50" w:line="360" w:lineRule="auto"/>
        <w:ind w:left="601" w:hanging="601"/>
        <w:rPr>
          <w:b/>
          <w:color w:val="auto"/>
          <w:sz w:val="28"/>
          <w:highlight w:val="none"/>
        </w:rPr>
      </w:pPr>
      <w:r>
        <w:rPr>
          <w:b/>
          <w:color w:val="auto"/>
          <w:sz w:val="28"/>
          <w:highlight w:val="none"/>
        </w:rPr>
        <w:t>3、工作条件</w:t>
      </w:r>
    </w:p>
    <w:p w14:paraId="17587111">
      <w:pPr>
        <w:spacing w:line="360" w:lineRule="auto"/>
        <w:rPr>
          <w:color w:val="auto"/>
          <w:sz w:val="24"/>
          <w:highlight w:val="none"/>
        </w:rPr>
      </w:pPr>
      <w:r>
        <w:rPr>
          <w:color w:val="auto"/>
          <w:sz w:val="24"/>
          <w:highlight w:val="none"/>
        </w:rPr>
        <w:t>除非在技术规格中另有说明，所有</w:t>
      </w:r>
      <w:r>
        <w:rPr>
          <w:rFonts w:hint="eastAsia"/>
          <w:color w:val="auto"/>
          <w:sz w:val="24"/>
          <w:highlight w:val="none"/>
        </w:rPr>
        <w:t>产品</w:t>
      </w:r>
      <w:r>
        <w:rPr>
          <w:color w:val="auto"/>
          <w:sz w:val="24"/>
          <w:highlight w:val="none"/>
        </w:rPr>
        <w:t xml:space="preserve">、货物和系统都应符合下列要求： </w:t>
      </w:r>
    </w:p>
    <w:p w14:paraId="0D98D749">
      <w:pPr>
        <w:spacing w:line="360" w:lineRule="auto"/>
        <w:ind w:left="554" w:hanging="554" w:hangingChars="231"/>
        <w:rPr>
          <w:color w:val="auto"/>
          <w:sz w:val="24"/>
          <w:highlight w:val="none"/>
        </w:rPr>
      </w:pPr>
      <w:r>
        <w:rPr>
          <w:color w:val="auto"/>
          <w:sz w:val="24"/>
          <w:highlight w:val="none"/>
        </w:rPr>
        <w:t>3.1  适于在气温为摄氏</w:t>
      </w:r>
      <w:r>
        <w:rPr>
          <w:b/>
          <w:color w:val="auto"/>
          <w:sz w:val="24"/>
          <w:highlight w:val="none"/>
        </w:rPr>
        <w:t>-</w:t>
      </w:r>
      <w:r>
        <w:rPr>
          <w:rFonts w:hint="eastAsia"/>
          <w:b/>
          <w:color w:val="auto"/>
          <w:sz w:val="24"/>
          <w:highlight w:val="none"/>
        </w:rPr>
        <w:t>10</w:t>
      </w:r>
      <w:r>
        <w:rPr>
          <w:b/>
          <w:color w:val="auto"/>
          <w:sz w:val="24"/>
          <w:highlight w:val="none"/>
        </w:rPr>
        <w:t>℃～＋</w:t>
      </w:r>
      <w:r>
        <w:rPr>
          <w:rFonts w:hint="eastAsia"/>
          <w:b/>
          <w:color w:val="auto"/>
          <w:sz w:val="24"/>
          <w:highlight w:val="none"/>
        </w:rPr>
        <w:t>45</w:t>
      </w:r>
      <w:r>
        <w:rPr>
          <w:b/>
          <w:color w:val="auto"/>
          <w:sz w:val="24"/>
          <w:highlight w:val="none"/>
        </w:rPr>
        <w:t>℃</w:t>
      </w:r>
      <w:r>
        <w:rPr>
          <w:color w:val="auto"/>
          <w:sz w:val="24"/>
          <w:highlight w:val="none"/>
        </w:rPr>
        <w:t>和相对湿度为</w:t>
      </w:r>
      <w:r>
        <w:rPr>
          <w:rFonts w:hint="eastAsia"/>
          <w:b/>
          <w:color w:val="auto"/>
          <w:sz w:val="24"/>
          <w:highlight w:val="none"/>
        </w:rPr>
        <w:t>65</w:t>
      </w:r>
      <w:r>
        <w:rPr>
          <w:b/>
          <w:color w:val="auto"/>
          <w:sz w:val="24"/>
          <w:highlight w:val="none"/>
        </w:rPr>
        <w:t>％</w:t>
      </w:r>
      <w:r>
        <w:rPr>
          <w:color w:val="auto"/>
          <w:sz w:val="24"/>
          <w:highlight w:val="none"/>
        </w:rPr>
        <w:t>的环境条件下运输和贮存。</w:t>
      </w:r>
    </w:p>
    <w:p w14:paraId="74841794">
      <w:pPr>
        <w:spacing w:line="360" w:lineRule="auto"/>
        <w:ind w:left="554" w:hanging="554" w:hangingChars="231"/>
        <w:rPr>
          <w:color w:val="auto"/>
          <w:sz w:val="24"/>
          <w:highlight w:val="none"/>
        </w:rPr>
      </w:pPr>
      <w:r>
        <w:rPr>
          <w:color w:val="auto"/>
          <w:sz w:val="24"/>
          <w:highlight w:val="none"/>
        </w:rPr>
        <w:t>3.2  适于在电源</w:t>
      </w:r>
      <w:r>
        <w:rPr>
          <w:b/>
          <w:color w:val="auto"/>
          <w:sz w:val="24"/>
          <w:highlight w:val="none"/>
        </w:rPr>
        <w:t>220V（</w:t>
      </w:r>
      <w:r>
        <w:rPr>
          <w:b/>
          <w:color w:val="auto"/>
          <w:sz w:val="24"/>
          <w:highlight w:val="none"/>
        </w:rPr>
        <w:sym w:font="Symbol" w:char="F0B1"/>
      </w:r>
      <w:r>
        <w:rPr>
          <w:b/>
          <w:color w:val="auto"/>
          <w:sz w:val="24"/>
          <w:highlight w:val="none"/>
        </w:rPr>
        <w:t>10％）/50Hz</w:t>
      </w:r>
      <w:r>
        <w:rPr>
          <w:color w:val="auto"/>
          <w:sz w:val="24"/>
          <w:highlight w:val="none"/>
        </w:rPr>
        <w:t>、气温摄氏</w:t>
      </w:r>
      <w:r>
        <w:rPr>
          <w:b/>
          <w:color w:val="auto"/>
          <w:sz w:val="24"/>
          <w:highlight w:val="none"/>
        </w:rPr>
        <w:t>+15℃～＋30℃</w:t>
      </w:r>
      <w:r>
        <w:rPr>
          <w:color w:val="auto"/>
          <w:sz w:val="24"/>
          <w:highlight w:val="none"/>
        </w:rPr>
        <w:t>和相对湿度小于</w:t>
      </w:r>
      <w:r>
        <w:rPr>
          <w:rFonts w:hint="eastAsia"/>
          <w:b/>
          <w:color w:val="auto"/>
          <w:sz w:val="24"/>
          <w:highlight w:val="none"/>
        </w:rPr>
        <w:t>65</w:t>
      </w:r>
      <w:r>
        <w:rPr>
          <w:b/>
          <w:color w:val="auto"/>
          <w:sz w:val="24"/>
          <w:highlight w:val="none"/>
        </w:rPr>
        <w:t>％</w:t>
      </w:r>
      <w:r>
        <w:rPr>
          <w:color w:val="auto"/>
          <w:sz w:val="24"/>
          <w:highlight w:val="none"/>
        </w:rPr>
        <w:t>的环境条件下运行。</w:t>
      </w:r>
      <w:r>
        <w:rPr>
          <w:b/>
          <w:color w:val="auto"/>
          <w:sz w:val="24"/>
          <w:highlight w:val="none"/>
        </w:rPr>
        <w:t>能够连续正常工作。</w:t>
      </w:r>
    </w:p>
    <w:p w14:paraId="1155A569">
      <w:pPr>
        <w:spacing w:line="360" w:lineRule="auto"/>
        <w:ind w:left="554" w:hanging="554" w:hangingChars="231"/>
        <w:rPr>
          <w:color w:val="auto"/>
          <w:sz w:val="24"/>
          <w:highlight w:val="none"/>
        </w:rPr>
      </w:pPr>
      <w:r>
        <w:rPr>
          <w:color w:val="auto"/>
          <w:sz w:val="24"/>
          <w:highlight w:val="none"/>
        </w:rPr>
        <w:t>3.3  配置符合中国有关标准要求的插头，如果没有这样的插头，则需提供适当的转换插座。</w:t>
      </w:r>
    </w:p>
    <w:p w14:paraId="138ACBE6">
      <w:pPr>
        <w:spacing w:line="360" w:lineRule="auto"/>
        <w:ind w:left="554" w:hanging="554" w:hangingChars="231"/>
        <w:rPr>
          <w:rFonts w:hint="eastAsia"/>
          <w:color w:val="auto"/>
          <w:sz w:val="24"/>
          <w:highlight w:val="none"/>
        </w:rPr>
      </w:pPr>
      <w:r>
        <w:rPr>
          <w:color w:val="auto"/>
          <w:sz w:val="24"/>
          <w:highlight w:val="none"/>
        </w:rPr>
        <w:t>3.4  如产品达不到上述要求，供应商应注明其偏差。如仪器设备需要特殊工作条件（如水、电源、磁场强度、温度、湿度、动强度等）供应商应在投标书中加以说明。</w:t>
      </w:r>
    </w:p>
    <w:p w14:paraId="7F9BBE90">
      <w:pPr>
        <w:spacing w:before="156" w:beforeLines="50" w:after="156" w:afterLines="50" w:line="360" w:lineRule="auto"/>
        <w:ind w:left="601" w:hanging="601"/>
        <w:rPr>
          <w:b/>
          <w:color w:val="auto"/>
          <w:sz w:val="28"/>
          <w:highlight w:val="none"/>
        </w:rPr>
      </w:pPr>
      <w:r>
        <w:rPr>
          <w:b/>
          <w:color w:val="auto"/>
          <w:sz w:val="28"/>
          <w:highlight w:val="none"/>
        </w:rPr>
        <w:t>4、验收标准</w:t>
      </w:r>
    </w:p>
    <w:p w14:paraId="0BBB60D4">
      <w:pPr>
        <w:spacing w:after="312" w:afterLines="100" w:line="360" w:lineRule="auto"/>
        <w:rPr>
          <w:color w:val="auto"/>
          <w:sz w:val="24"/>
          <w:highlight w:val="none"/>
        </w:rPr>
      </w:pPr>
      <w:r>
        <w:rPr>
          <w:color w:val="auto"/>
          <w:sz w:val="24"/>
          <w:highlight w:val="none"/>
        </w:rPr>
        <w:t xml:space="preserve">除非在具体要求中另有说明，所有货物按下列要求进行验收： </w:t>
      </w:r>
    </w:p>
    <w:p w14:paraId="1632AAAC">
      <w:pPr>
        <w:spacing w:line="360" w:lineRule="auto"/>
        <w:ind w:left="554" w:hanging="554" w:hangingChars="231"/>
        <w:rPr>
          <w:color w:val="auto"/>
          <w:sz w:val="24"/>
          <w:highlight w:val="none"/>
        </w:rPr>
      </w:pPr>
      <w:r>
        <w:rPr>
          <w:color w:val="auto"/>
          <w:sz w:val="24"/>
          <w:highlight w:val="none"/>
        </w:rPr>
        <w:t>4.1  货物运抵安装现场后，采购人将与供应商共同开箱验收, 如供应商届时不派人来, 则验收结果应以采购人的验收报告为最终验收结果。验收时发现短缺、破损, 采购人有权要求供应商负责更换。</w:t>
      </w:r>
    </w:p>
    <w:p w14:paraId="0EAF6807">
      <w:pPr>
        <w:spacing w:line="360" w:lineRule="auto"/>
        <w:ind w:left="554" w:hanging="554" w:hangingChars="231"/>
        <w:rPr>
          <w:color w:val="auto"/>
          <w:sz w:val="24"/>
          <w:highlight w:val="none"/>
        </w:rPr>
      </w:pPr>
      <w:r>
        <w:rPr>
          <w:color w:val="auto"/>
          <w:sz w:val="24"/>
          <w:highlight w:val="none"/>
        </w:rPr>
        <w:t>4.2  验收标准以中标人提供的投标文件中所列的指标为准（该指标应不低于采购文件所要求的指标）。任何虚假指标响应一经发现即作废标，供应商必须承担由此给采购人带来的一切经济损失和其它相关责任。</w:t>
      </w:r>
    </w:p>
    <w:p w14:paraId="3961A6ED">
      <w:pPr>
        <w:spacing w:line="360" w:lineRule="auto"/>
        <w:ind w:left="554" w:hanging="554" w:hangingChars="231"/>
        <w:rPr>
          <w:color w:val="auto"/>
          <w:sz w:val="24"/>
          <w:highlight w:val="none"/>
        </w:rPr>
      </w:pPr>
      <w:r>
        <w:rPr>
          <w:color w:val="auto"/>
          <w:sz w:val="24"/>
          <w:highlight w:val="none"/>
        </w:rPr>
        <w:t>4.3  验收由采购人、中标人及相关人员依国家有关标准、合同及有关附件要求进行，验收完毕由采购人及中标人在验收报告上签名。</w:t>
      </w:r>
    </w:p>
    <w:p w14:paraId="0564D336">
      <w:pPr>
        <w:pStyle w:val="3"/>
        <w:rPr>
          <w:color w:val="auto"/>
          <w:highlight w:val="none"/>
        </w:rPr>
      </w:pPr>
    </w:p>
    <w:p w14:paraId="6B27C0BA">
      <w:pPr>
        <w:spacing w:line="360" w:lineRule="auto"/>
        <w:ind w:left="410" w:hanging="410" w:hangingChars="170"/>
        <w:rPr>
          <w:b/>
          <w:color w:val="auto"/>
          <w:sz w:val="24"/>
          <w:highlight w:val="none"/>
        </w:rPr>
      </w:pPr>
      <w:r>
        <w:rPr>
          <w:b/>
          <w:color w:val="auto"/>
          <w:sz w:val="24"/>
          <w:highlight w:val="none"/>
        </w:rPr>
        <w:t>5、本具体要求中标注“</w:t>
      </w:r>
      <w:r>
        <w:rPr>
          <w:rFonts w:ascii="Segoe UI Symbol" w:hAnsi="Segoe UI Symbol" w:cs="Segoe UI Symbol"/>
          <w:b/>
          <w:color w:val="auto"/>
          <w:sz w:val="24"/>
          <w:highlight w:val="none"/>
        </w:rPr>
        <w:t>★</w:t>
      </w:r>
      <w:r>
        <w:rPr>
          <w:b/>
          <w:color w:val="auto"/>
          <w:sz w:val="24"/>
          <w:highlight w:val="none"/>
        </w:rPr>
        <w:t>”号的为实质性要求，不满足其投标将被拒绝。</w:t>
      </w:r>
    </w:p>
    <w:p w14:paraId="44AE5A14">
      <w:pPr>
        <w:pStyle w:val="3"/>
        <w:rPr>
          <w:color w:val="auto"/>
          <w:highlight w:val="none"/>
        </w:rPr>
      </w:pPr>
    </w:p>
    <w:p w14:paraId="302E7511">
      <w:pPr>
        <w:spacing w:line="360" w:lineRule="auto"/>
        <w:rPr>
          <w:b/>
          <w:color w:val="auto"/>
          <w:sz w:val="24"/>
          <w:highlight w:val="none"/>
        </w:rPr>
      </w:pPr>
      <w:r>
        <w:rPr>
          <w:b/>
          <w:color w:val="auto"/>
          <w:sz w:val="24"/>
          <w:highlight w:val="none"/>
        </w:rPr>
        <w:t>6、如在具体要求中有本总则不一致之处，以具体要求中的要求内容为准。</w:t>
      </w:r>
    </w:p>
    <w:p w14:paraId="42A4686A">
      <w:pPr>
        <w:pStyle w:val="3"/>
        <w:rPr>
          <w:color w:val="auto"/>
          <w:highlight w:val="none"/>
        </w:rPr>
      </w:pPr>
      <w:r>
        <w:rPr>
          <w:color w:val="auto"/>
          <w:highlight w:val="none"/>
        </w:rPr>
        <w:br w:type="page"/>
      </w:r>
      <w:bookmarkStart w:id="1" w:name="_Hlk148688652"/>
    </w:p>
    <w:p w14:paraId="12EB9D8A">
      <w:pPr>
        <w:widowControl/>
        <w:snapToGrid w:val="0"/>
        <w:spacing w:line="360" w:lineRule="auto"/>
        <w:jc w:val="center"/>
        <w:rPr>
          <w:b/>
          <w:color w:val="auto"/>
          <w:sz w:val="32"/>
          <w:szCs w:val="32"/>
          <w:highlight w:val="none"/>
        </w:rPr>
      </w:pPr>
      <w:bookmarkStart w:id="2" w:name="_Hlk152079560"/>
      <w:r>
        <w:rPr>
          <w:rFonts w:hint="eastAsia"/>
          <w:b/>
          <w:color w:val="auto"/>
          <w:sz w:val="32"/>
          <w:szCs w:val="32"/>
          <w:highlight w:val="none"/>
        </w:rPr>
        <w:t>三、</w:t>
      </w:r>
      <w:r>
        <w:rPr>
          <w:b/>
          <w:color w:val="auto"/>
          <w:sz w:val="32"/>
          <w:szCs w:val="32"/>
          <w:highlight w:val="none"/>
        </w:rPr>
        <w:t>具体要求：</w:t>
      </w:r>
    </w:p>
    <w:p w14:paraId="0DE2E427">
      <w:pPr>
        <w:rPr>
          <w:rFonts w:hint="eastAsia"/>
          <w:color w:val="auto"/>
          <w:highlight w:val="none"/>
        </w:rPr>
      </w:pPr>
    </w:p>
    <w:p w14:paraId="609BF14E">
      <w:pPr>
        <w:widowControl/>
        <w:snapToGrid w:val="0"/>
        <w:spacing w:line="360" w:lineRule="auto"/>
        <w:jc w:val="center"/>
        <w:rPr>
          <w:b/>
          <w:color w:val="auto"/>
          <w:sz w:val="30"/>
          <w:szCs w:val="30"/>
          <w:highlight w:val="none"/>
        </w:rPr>
      </w:pPr>
      <w:r>
        <w:rPr>
          <w:b/>
          <w:color w:val="auto"/>
          <w:sz w:val="30"/>
          <w:szCs w:val="30"/>
          <w:highlight w:val="none"/>
        </w:rPr>
        <w:t>货物名称</w:t>
      </w:r>
      <w:r>
        <w:rPr>
          <w:rFonts w:hint="eastAsia"/>
          <w:b/>
          <w:color w:val="auto"/>
          <w:sz w:val="30"/>
          <w:szCs w:val="30"/>
          <w:highlight w:val="none"/>
        </w:rPr>
        <w:t>：reel-to-reel离子束辅助沉积</w:t>
      </w:r>
    </w:p>
    <w:p w14:paraId="16F74F66">
      <w:pPr>
        <w:rPr>
          <w:rFonts w:hint="eastAsia"/>
          <w:color w:val="auto"/>
          <w:highlight w:val="none"/>
        </w:rPr>
      </w:pPr>
    </w:p>
    <w:p w14:paraId="43C4039A">
      <w:pPr>
        <w:widowControl/>
        <w:snapToGrid w:val="0"/>
        <w:spacing w:line="360" w:lineRule="auto"/>
        <w:jc w:val="left"/>
        <w:rPr>
          <w:rFonts w:hint="eastAsia"/>
          <w:b/>
          <w:color w:val="auto"/>
          <w:sz w:val="30"/>
          <w:szCs w:val="30"/>
          <w:highlight w:val="none"/>
        </w:rPr>
      </w:pPr>
      <w:r>
        <w:rPr>
          <w:b/>
          <w:color w:val="auto"/>
          <w:sz w:val="30"/>
          <w:szCs w:val="30"/>
          <w:highlight w:val="none"/>
        </w:rPr>
        <w:t>（一）技术要求：</w:t>
      </w:r>
      <w:bookmarkEnd w:id="1"/>
      <w:bookmarkEnd w:id="2"/>
    </w:p>
    <w:p w14:paraId="2D85BA80">
      <w:pPr>
        <w:widowControl/>
        <w:snapToGrid w:val="0"/>
        <w:spacing w:line="360" w:lineRule="auto"/>
        <w:rPr>
          <w:rFonts w:ascii="宋体" w:hAnsi="宋体"/>
          <w:b/>
          <w:color w:val="auto"/>
          <w:sz w:val="24"/>
          <w:highlight w:val="none"/>
        </w:rPr>
      </w:pPr>
      <w:r>
        <w:rPr>
          <w:rFonts w:hint="eastAsia" w:ascii="宋体" w:hAnsi="宋体"/>
          <w:b/>
          <w:color w:val="auto"/>
          <w:sz w:val="24"/>
          <w:highlight w:val="none"/>
        </w:rPr>
        <w:t>1、工作条件：</w:t>
      </w:r>
    </w:p>
    <w:p w14:paraId="64022E44">
      <w:pPr>
        <w:pStyle w:val="3"/>
        <w:spacing w:line="360" w:lineRule="auto"/>
        <w:ind w:firstLine="480" w:firstLineChars="200"/>
        <w:rPr>
          <w:rFonts w:hint="eastAsia" w:hAnsi="宋体"/>
          <w:color w:val="auto"/>
          <w:position w:val="-20"/>
          <w:sz w:val="24"/>
          <w:szCs w:val="24"/>
          <w:highlight w:val="none"/>
        </w:rPr>
      </w:pPr>
      <w:r>
        <w:rPr>
          <w:rFonts w:hint="eastAsia" w:hAnsi="宋体"/>
          <w:color w:val="auto"/>
          <w:position w:val="-20"/>
          <w:sz w:val="24"/>
          <w:szCs w:val="24"/>
          <w:highlight w:val="none"/>
        </w:rPr>
        <w:t>设施和安全</w:t>
      </w:r>
    </w:p>
    <w:p w14:paraId="5B012F6A">
      <w:pPr>
        <w:pStyle w:val="3"/>
        <w:spacing w:line="360" w:lineRule="auto"/>
        <w:ind w:firstLine="480" w:firstLineChars="200"/>
        <w:rPr>
          <w:rFonts w:hint="eastAsia" w:hAnsi="宋体"/>
          <w:color w:val="auto"/>
          <w:position w:val="-20"/>
          <w:sz w:val="24"/>
          <w:szCs w:val="24"/>
          <w:highlight w:val="none"/>
        </w:rPr>
      </w:pPr>
      <w:r>
        <w:rPr>
          <w:rFonts w:hint="eastAsia" w:hAnsi="宋体"/>
          <w:color w:val="auto"/>
          <w:position w:val="-20"/>
          <w:sz w:val="24"/>
          <w:szCs w:val="24"/>
          <w:highlight w:val="none"/>
        </w:rPr>
        <w:t>1）该系统包括自己的配电箱，接线为380/400 VAC，5线，50 Hz。</w:t>
      </w:r>
    </w:p>
    <w:p w14:paraId="6E746CF6">
      <w:pPr>
        <w:pStyle w:val="3"/>
        <w:spacing w:line="360" w:lineRule="auto"/>
        <w:ind w:firstLine="480" w:firstLineChars="200"/>
        <w:rPr>
          <w:rFonts w:hint="eastAsia" w:hAnsi="宋体"/>
          <w:color w:val="auto"/>
          <w:position w:val="-20"/>
          <w:sz w:val="24"/>
          <w:szCs w:val="24"/>
          <w:highlight w:val="none"/>
        </w:rPr>
      </w:pPr>
      <w:r>
        <w:rPr>
          <w:rFonts w:hint="eastAsia" w:hAnsi="宋体"/>
          <w:color w:val="auto"/>
          <w:position w:val="-20"/>
          <w:sz w:val="24"/>
          <w:szCs w:val="24"/>
          <w:highlight w:val="none"/>
        </w:rPr>
        <w:t>2）压缩空气和干燥氮气的压力调节器。</w:t>
      </w:r>
    </w:p>
    <w:p w14:paraId="4B095D18">
      <w:pPr>
        <w:pStyle w:val="3"/>
        <w:spacing w:line="360" w:lineRule="auto"/>
        <w:ind w:firstLine="480" w:firstLineChars="200"/>
        <w:rPr>
          <w:rFonts w:hint="eastAsia" w:hAnsi="宋体"/>
          <w:color w:val="auto"/>
          <w:position w:val="-20"/>
          <w:sz w:val="24"/>
          <w:szCs w:val="24"/>
          <w:highlight w:val="none"/>
        </w:rPr>
      </w:pPr>
      <w:r>
        <w:rPr>
          <w:rFonts w:hint="eastAsia" w:hAnsi="宋体"/>
          <w:color w:val="auto"/>
          <w:position w:val="-20"/>
          <w:sz w:val="24"/>
          <w:szCs w:val="24"/>
          <w:highlight w:val="none"/>
        </w:rPr>
        <w:t>3）水管配有水流开关，用于所有需要水冷的部件。</w:t>
      </w:r>
    </w:p>
    <w:p w14:paraId="0CEF0272">
      <w:pPr>
        <w:pStyle w:val="3"/>
        <w:spacing w:line="360" w:lineRule="auto"/>
        <w:ind w:firstLine="480" w:firstLineChars="200"/>
        <w:rPr>
          <w:rFonts w:hint="eastAsia" w:hAnsi="宋体"/>
          <w:color w:val="auto"/>
          <w:position w:val="-20"/>
          <w:sz w:val="24"/>
          <w:szCs w:val="24"/>
          <w:highlight w:val="none"/>
        </w:rPr>
      </w:pPr>
      <w:r>
        <w:rPr>
          <w:rFonts w:hint="eastAsia" w:hAnsi="宋体"/>
          <w:color w:val="auto"/>
          <w:position w:val="-20"/>
          <w:sz w:val="24"/>
          <w:szCs w:val="24"/>
          <w:highlight w:val="none"/>
        </w:rPr>
        <w:t>4）包括两个EMO按钮。</w:t>
      </w:r>
    </w:p>
    <w:p w14:paraId="79DEA66E">
      <w:pPr>
        <w:pStyle w:val="3"/>
        <w:spacing w:line="360" w:lineRule="auto"/>
        <w:ind w:firstLine="480" w:firstLineChars="200"/>
        <w:rPr>
          <w:rFonts w:hAnsi="宋体"/>
          <w:color w:val="auto"/>
          <w:position w:val="-20"/>
          <w:sz w:val="24"/>
          <w:szCs w:val="24"/>
          <w:highlight w:val="none"/>
        </w:rPr>
      </w:pPr>
      <w:r>
        <w:rPr>
          <w:rFonts w:hint="eastAsia" w:hAnsi="宋体"/>
          <w:color w:val="auto"/>
          <w:position w:val="-20"/>
          <w:sz w:val="24"/>
          <w:szCs w:val="24"/>
          <w:highlight w:val="none"/>
        </w:rPr>
        <w:t>5）如果腔体门打开，离子源的电源将关闭。</w:t>
      </w:r>
    </w:p>
    <w:p w14:paraId="701E1DEE">
      <w:pPr>
        <w:pStyle w:val="3"/>
        <w:rPr>
          <w:color w:val="auto"/>
          <w:highlight w:val="none"/>
        </w:rPr>
      </w:pPr>
    </w:p>
    <w:p w14:paraId="0983A379">
      <w:pPr>
        <w:widowControl/>
        <w:tabs>
          <w:tab w:val="left" w:pos="8010"/>
        </w:tabs>
        <w:snapToGrid w:val="0"/>
        <w:spacing w:line="360" w:lineRule="auto"/>
        <w:rPr>
          <w:rFonts w:ascii="宋体" w:hAnsi="宋体"/>
          <w:color w:val="auto"/>
          <w:sz w:val="24"/>
          <w:highlight w:val="none"/>
        </w:rPr>
      </w:pPr>
      <w:r>
        <w:rPr>
          <w:rFonts w:hint="eastAsia" w:ascii="宋体" w:hAnsi="宋体"/>
          <w:b/>
          <w:color w:val="auto"/>
          <w:sz w:val="24"/>
          <w:highlight w:val="none"/>
        </w:rPr>
        <w:t>2、设备用途说明：</w:t>
      </w:r>
    </w:p>
    <w:p w14:paraId="27618555">
      <w:pPr>
        <w:pStyle w:val="2"/>
        <w:spacing w:before="0" w:line="360" w:lineRule="auto"/>
        <w:ind w:firstLine="480" w:firstLineChars="200"/>
        <w:rPr>
          <w:color w:val="auto"/>
          <w:highlight w:val="none"/>
        </w:rPr>
      </w:pPr>
      <w:r>
        <w:rPr>
          <w:rFonts w:hint="eastAsia"/>
          <w:color w:val="auto"/>
          <w:highlight w:val="none"/>
        </w:rPr>
        <w:t>该设备用于在百米级别金属基带上以卷绕方式沉积双轴织构MgO层，以供后续缓冲层和REBCO超导层生长。</w:t>
      </w:r>
    </w:p>
    <w:p w14:paraId="492C1C0A">
      <w:pPr>
        <w:pStyle w:val="3"/>
        <w:rPr>
          <w:rFonts w:hint="eastAsia"/>
          <w:color w:val="auto"/>
          <w:highlight w:val="none"/>
        </w:rPr>
      </w:pPr>
    </w:p>
    <w:p w14:paraId="34BDC05B">
      <w:pPr>
        <w:widowControl/>
        <w:tabs>
          <w:tab w:val="left" w:pos="8010"/>
        </w:tabs>
        <w:snapToGrid w:val="0"/>
        <w:spacing w:line="360" w:lineRule="auto"/>
        <w:rPr>
          <w:rFonts w:ascii="宋体" w:hAnsi="宋体"/>
          <w:color w:val="auto"/>
          <w:sz w:val="24"/>
          <w:highlight w:val="none"/>
        </w:rPr>
      </w:pPr>
      <w:r>
        <w:rPr>
          <w:rFonts w:hint="eastAsia" w:ascii="宋体" w:hAnsi="宋体"/>
          <w:b/>
          <w:color w:val="auto"/>
          <w:sz w:val="24"/>
          <w:highlight w:val="none"/>
        </w:rPr>
        <w:t>3、技术要求及参数</w:t>
      </w:r>
    </w:p>
    <w:p w14:paraId="181C690A">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3.1 系统布局</w:t>
      </w:r>
    </w:p>
    <w:p w14:paraId="5CF26A3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 系统包括放卷室、沉积腔室、RHEED分析室和收卷室。</w:t>
      </w:r>
    </w:p>
    <w:p w14:paraId="67F87AF6">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 腔室组件需安装在带有脚轮和调平垫的大型支撑架上。</w:t>
      </w:r>
    </w:p>
    <w:p w14:paraId="75F8490B">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 电子设备机架将内置在框架中。</w:t>
      </w:r>
    </w:p>
    <w:p w14:paraId="06A1B42D">
      <w:pPr>
        <w:widowControl/>
        <w:tabs>
          <w:tab w:val="left" w:pos="8010"/>
        </w:tabs>
        <w:spacing w:line="360" w:lineRule="auto"/>
        <w:rPr>
          <w:rFonts w:ascii="宋体" w:hAnsi="宋体"/>
          <w:color w:val="auto"/>
          <w:sz w:val="24"/>
          <w:highlight w:val="none"/>
        </w:rPr>
      </w:pPr>
      <w:r>
        <w:rPr>
          <w:rFonts w:hint="eastAsia" w:ascii="宋体" w:hAnsi="宋体"/>
          <w:color w:val="auto"/>
          <w:sz w:val="24"/>
          <w:highlight w:val="none"/>
        </w:rPr>
        <w:t>3.1.4 RHEED分析室将放置在沉积腔室之后和收卷室之前。</w:t>
      </w:r>
    </w:p>
    <w:p w14:paraId="3A8C8AC0">
      <w:pPr>
        <w:pStyle w:val="3"/>
        <w:rPr>
          <w:rFonts w:hint="eastAsia"/>
          <w:color w:val="auto"/>
          <w:highlight w:val="none"/>
        </w:rPr>
      </w:pPr>
    </w:p>
    <w:p w14:paraId="00B0E905">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3.2 卷筒提升部件：</w:t>
      </w:r>
    </w:p>
    <w:p w14:paraId="50612F8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3.2.1 系统至少配备四套可容纳12毫米宽基带的卷筒，用于容纳哈氏合金基带。</w:t>
      </w:r>
    </w:p>
    <w:p w14:paraId="66B6336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3.2.2 卷筒的尺寸为：内径为90毫米，外径为432毫米。</w:t>
      </w:r>
    </w:p>
    <w:p w14:paraId="253C248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3.2.3包括一个机械升降机。</w:t>
      </w:r>
    </w:p>
    <w:p w14:paraId="02954EE4">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3.2.4 卷筒需要能够固定给定直径的带材卷轴，并允许用户将整卷基带插入放卷腔室的主轴上。</w:t>
      </w:r>
    </w:p>
    <w:p w14:paraId="7370429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3.2.5 能够从收卷腔室中直接取出卷筒。</w:t>
      </w:r>
    </w:p>
    <w:p w14:paraId="3EF27E14">
      <w:pPr>
        <w:widowControl/>
        <w:tabs>
          <w:tab w:val="left" w:pos="8010"/>
        </w:tabs>
        <w:spacing w:line="360" w:lineRule="auto"/>
        <w:rPr>
          <w:rFonts w:hint="eastAsia" w:ascii="宋体" w:hAnsi="宋体"/>
          <w:color w:val="auto"/>
          <w:sz w:val="24"/>
          <w:highlight w:val="none"/>
        </w:rPr>
      </w:pPr>
    </w:p>
    <w:p w14:paraId="3770589E">
      <w:pPr>
        <w:widowControl/>
        <w:tabs>
          <w:tab w:val="left" w:pos="8010"/>
        </w:tabs>
        <w:spacing w:line="360" w:lineRule="auto"/>
        <w:rPr>
          <w:rFonts w:ascii="宋体" w:hAnsi="宋体"/>
          <w:b/>
          <w:bCs/>
          <w:color w:val="auto"/>
          <w:sz w:val="24"/>
          <w:highlight w:val="none"/>
        </w:rPr>
      </w:pPr>
    </w:p>
    <w:p w14:paraId="332F9206">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3.3 1号放卷室，带材传输、速度和张力控制：</w:t>
      </w:r>
    </w:p>
    <w:p w14:paraId="5EF52D6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3.3.1 提供四个卷轴。</w:t>
      </w:r>
    </w:p>
    <w:p w14:paraId="6C98B86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3.3.2 卷轴的内径为3英寸，外径为17英寸。</w:t>
      </w:r>
    </w:p>
    <w:p w14:paraId="02833404">
      <w:pPr>
        <w:widowControl/>
        <w:tabs>
          <w:tab w:val="left" w:pos="8010"/>
        </w:tabs>
        <w:spacing w:line="360" w:lineRule="auto"/>
        <w:rPr>
          <w:rFonts w:hint="eastAsia" w:ascii="宋体" w:hAnsi="宋体"/>
          <w:color w:val="auto"/>
          <w:sz w:val="24"/>
          <w:highlight w:val="none"/>
        </w:rPr>
      </w:pPr>
      <w:r>
        <w:rPr>
          <w:rFonts w:hint="eastAsia" w:ascii="宋体" w:hAnsi="宋体"/>
          <w:bCs/>
          <w:color w:val="auto"/>
          <w:sz w:val="24"/>
          <w:highlight w:val="none"/>
        </w:rPr>
        <w:t>▲</w:t>
      </w:r>
      <w:r>
        <w:rPr>
          <w:rFonts w:hint="eastAsia" w:ascii="宋体" w:hAnsi="宋体"/>
          <w:color w:val="auto"/>
          <w:sz w:val="24"/>
          <w:highlight w:val="none"/>
        </w:rPr>
        <w:t>3.3.3放卷室需匹配1.1公里长、12毫米宽、最高100微米厚的基带。</w:t>
      </w:r>
    </w:p>
    <w:p w14:paraId="2124D57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3.3.4 腔室将包括一个重型铁磁流体旋转馈通，轴外径为¾”。</w:t>
      </w:r>
    </w:p>
    <w:p w14:paraId="22C20800">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3.3.5 该轴需有一个内置的延伸部分，由内部轴承块支撑，用于承载卷轴的重量，并调节卷轴在轴长方向上的位置。</w:t>
      </w:r>
    </w:p>
    <w:p w14:paraId="2EDF346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3.3.6 一旦将卷轴放置在轴组件上，轴承支架将插入轴的末端，为轴组件提供完全支撑</w:t>
      </w:r>
    </w:p>
    <w:p w14:paraId="75518A0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3.3.7 大型铁磁液体密封器的大气端将连接到一个电磁离合器和步进电机驱动系统。</w:t>
      </w:r>
    </w:p>
    <w:p w14:paraId="7473361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3.3.8 需要配备第二个较小的带¼”外径轴的铁磁流体密封器，用于基带速度测量和控制。</w:t>
      </w:r>
    </w:p>
    <w:p w14:paraId="1B1A1EB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3.3.9 该卷轴需有一个直径为4.5英寸的内部惰轮和三个氟橡胶O型圈，与带材背面接触，以尽量减少带材打滑。</w:t>
      </w:r>
    </w:p>
    <w:p w14:paraId="1EF01ED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3.3.10 现场张力测量装置需要安装在另一个轴和一组轴承上，以直接测量带材张力。</w:t>
      </w:r>
    </w:p>
    <w:p w14:paraId="39D21E7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▲3.3.11 与设备另一侧的收卷腔室联动，需提供0至200米/小时的带材速度，0至5kgf（50牛顿）的带材张力</w:t>
      </w:r>
    </w:p>
    <w:p w14:paraId="7C75274C">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3.3.12 带材传输系统支持双向操作。</w:t>
      </w:r>
    </w:p>
    <w:p w14:paraId="1639032E">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 xml:space="preserve">▲3.3.13 以50-200m/h的速度运行时，速度精度为±3% </w:t>
      </w:r>
    </w:p>
    <w:p w14:paraId="177B686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▲3.3.14 对于2.5-5kgf范围内的基带张力，张力变化需优于±5%。</w:t>
      </w:r>
    </w:p>
    <w:p w14:paraId="76A3F295">
      <w:pPr>
        <w:widowControl/>
        <w:tabs>
          <w:tab w:val="left" w:pos="8010"/>
        </w:tabs>
        <w:spacing w:line="360" w:lineRule="auto"/>
        <w:rPr>
          <w:rFonts w:ascii="宋体" w:hAnsi="宋体"/>
          <w:b/>
          <w:bCs/>
          <w:color w:val="auto"/>
          <w:sz w:val="24"/>
          <w:highlight w:val="none"/>
        </w:rPr>
      </w:pPr>
    </w:p>
    <w:p w14:paraId="2F8F4ADB">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3.4 主沉积室和框架组件：</w:t>
      </w:r>
    </w:p>
    <w:p w14:paraId="4277516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3.4.1 IBAD沉积室将通过10英寸CF法兰直接与放卷室连接。</w:t>
      </w:r>
    </w:p>
    <w:p w14:paraId="30A7D33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3.4.2 两个腔室之间没有隔离阀。</w:t>
      </w:r>
    </w:p>
    <w:p w14:paraId="5AAAB09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3.4.3 该腔室需由304不锈钢制成，包括一个带氟橡胶O型圈密封的大型铰链门。</w:t>
      </w:r>
    </w:p>
    <w:p w14:paraId="0EC0FC1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3.4.4该腔室需包括多个端口，以支持两个22 x 6 cm的线性射频离子源、一个水冷靶台和一个水冷基板台。</w:t>
      </w:r>
    </w:p>
    <w:p w14:paraId="5EC5476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3.4.5 提供用于观察、抽真空、真空计等的CF法兰端口。</w:t>
      </w:r>
    </w:p>
    <w:p w14:paraId="52E9E26C">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3.4.6 需要配备至少3个备用端口。</w:t>
      </w:r>
    </w:p>
    <w:p w14:paraId="7283A1E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3.4.7 所有CF法兰式端口需配备公制螺纹镀银螺栓。</w:t>
      </w:r>
    </w:p>
    <w:p w14:paraId="541DBF3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3.4.8 可拆卸的铝制检修板安装在腔室的后壁上，以便在需要时为离子源提供方便的维修。该板通过氟橡胶O型圈和多个螺栓密封。</w:t>
      </w:r>
    </w:p>
    <w:p w14:paraId="3133D37B">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3.4.9 腔室需过带有脚轮和调平垫的粉末涂层CRS支撑架进行支撑。</w:t>
      </w:r>
    </w:p>
    <w:p w14:paraId="44F7F17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3.4.10 框架将包括电子设备机架，以支撑包括配电箱在内的所有系统电子设备。</w:t>
      </w:r>
    </w:p>
    <w:p w14:paraId="64636D24">
      <w:pPr>
        <w:widowControl/>
        <w:tabs>
          <w:tab w:val="left" w:pos="8010"/>
        </w:tabs>
        <w:spacing w:line="360" w:lineRule="auto"/>
        <w:rPr>
          <w:rFonts w:ascii="宋体" w:hAnsi="宋体"/>
          <w:color w:val="auto"/>
          <w:sz w:val="24"/>
          <w:highlight w:val="none"/>
        </w:rPr>
      </w:pPr>
    </w:p>
    <w:p w14:paraId="67DB917A">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3.5 主沉积室的真空泵组和测量组件</w:t>
      </w:r>
    </w:p>
    <w:p w14:paraId="73CF9FC0">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3.5.1 需提供一台泵速至少为5000 L/min的罗茨泵，用于抽空沉积腔室。</w:t>
      </w:r>
    </w:p>
    <w:p w14:paraId="040BC5EB">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3.5.2 系统的主泵为低温泵，用于达到基底真空。该泵配有水冷压缩机和低温管路。</w:t>
      </w:r>
    </w:p>
    <w:p w14:paraId="297F08F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3.5.3 泵送速度至少需要满足：17500 L/S（H2O）、6000 L/S（Ar）和6000 L/S（O2）。</w:t>
      </w:r>
    </w:p>
    <w:p w14:paraId="0901CE60">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3.5.4 低温泵抽速需要同时运行两个离子源和中和器，并保持压力低于</w:t>
      </w:r>
      <w:r>
        <w:rPr>
          <w:rFonts w:ascii="宋体" w:hAnsi="宋体"/>
          <w:color w:val="auto"/>
          <w:sz w:val="24"/>
          <w:highlight w:val="none"/>
        </w:rPr>
        <w:t>4 x 10</w:t>
      </w:r>
      <w:r>
        <w:rPr>
          <w:rFonts w:hint="eastAsia" w:ascii="MS Gothic" w:hAnsi="MS Gothic" w:eastAsia="MS Gothic" w:cs="MS Gothic"/>
          <w:color w:val="auto"/>
          <w:sz w:val="24"/>
          <w:highlight w:val="none"/>
        </w:rPr>
        <w:t>⁻⁴</w:t>
      </w:r>
      <w:r>
        <w:rPr>
          <w:rFonts w:ascii="宋体" w:hAnsi="宋体"/>
          <w:color w:val="auto"/>
          <w:sz w:val="24"/>
          <w:highlight w:val="none"/>
        </w:rPr>
        <w:t xml:space="preserve"> Torr</w:t>
      </w:r>
      <w:r>
        <w:rPr>
          <w:rFonts w:hint="eastAsia" w:ascii="宋体" w:hAnsi="宋体"/>
          <w:color w:val="auto"/>
          <w:sz w:val="24"/>
          <w:highlight w:val="none"/>
        </w:rPr>
        <w:t>。该泵还需要包含一个排气阀和预抽阀，以及一个用于低温再生过程中的压力上升速率测量的对流计。</w:t>
      </w:r>
    </w:p>
    <w:p w14:paraId="7405690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3.5.5 低温泵与主室隔离需通过气动闸阀。</w:t>
      </w:r>
    </w:p>
    <w:p w14:paraId="76E35C6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3.5.6 需提供离子计和一对对流计，用于从大气压到基底压力的压力测量。</w:t>
      </w:r>
    </w:p>
    <w:p w14:paraId="6B0B288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▲3.5.7 对于清洁干燥的腔室，腔室至少达到低于5 x 10</w:t>
      </w:r>
      <w:r>
        <w:rPr>
          <w:rFonts w:hint="eastAsia" w:ascii="宋体" w:hAnsi="宋体"/>
          <w:color w:val="auto"/>
          <w:sz w:val="24"/>
          <w:highlight w:val="none"/>
          <w:vertAlign w:val="superscript"/>
        </w:rPr>
        <w:t>-7</w:t>
      </w:r>
      <w:r>
        <w:rPr>
          <w:rFonts w:hint="eastAsia" w:ascii="宋体" w:hAnsi="宋体"/>
          <w:color w:val="auto"/>
          <w:sz w:val="24"/>
          <w:highlight w:val="none"/>
        </w:rPr>
        <w:t xml:space="preserve"> Torr的基础压力。</w:t>
      </w:r>
    </w:p>
    <w:p w14:paraId="287F12E1">
      <w:pPr>
        <w:widowControl/>
        <w:tabs>
          <w:tab w:val="left" w:pos="8010"/>
        </w:tabs>
        <w:spacing w:line="360" w:lineRule="auto"/>
        <w:rPr>
          <w:rFonts w:ascii="宋体" w:hAnsi="宋体"/>
          <w:b/>
          <w:bCs/>
          <w:color w:val="auto"/>
          <w:sz w:val="24"/>
          <w:highlight w:val="none"/>
        </w:rPr>
      </w:pPr>
      <w:bookmarkStart w:id="3" w:name="_Hlk177412922"/>
    </w:p>
    <w:p w14:paraId="5E972984">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3.6 用于离子束溅射的22 x 6 cm射频离子源：</w:t>
      </w:r>
    </w:p>
    <w:p w14:paraId="4866E6B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3.6.1 一台尺寸至少为22 x 6 cm的射频离子源，通过一对支架安装在腔室的上后壁附近。</w:t>
      </w:r>
    </w:p>
    <w:p w14:paraId="5C4FB106">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3.6.2 支架需具备离子源与靶材法线的入射角可调能力，范围为±2°，以45°的标称角度为中心。</w:t>
      </w:r>
    </w:p>
    <w:p w14:paraId="3FE5C1B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3.6.3 靶材倾斜角分辨率为1°。</w:t>
      </w:r>
    </w:p>
    <w:p w14:paraId="4234021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3.6.4需要为离子源配备一组三个会聚的钼栅，以提高靶上的束流通量。</w:t>
      </w:r>
    </w:p>
    <w:p w14:paraId="0218132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3.6.5 离子源栅格的焦距为18cm</w:t>
      </w:r>
      <w:bookmarkEnd w:id="3"/>
      <w:r>
        <w:rPr>
          <w:rFonts w:hint="eastAsia" w:ascii="宋体" w:hAnsi="宋体"/>
          <w:color w:val="auto"/>
          <w:sz w:val="24"/>
          <w:highlight w:val="none"/>
        </w:rPr>
        <w:t>。</w:t>
      </w:r>
    </w:p>
    <w:p w14:paraId="13858AF0">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3.6.6 提供将光束移近或移远目标的调整功能。</w:t>
      </w:r>
    </w:p>
    <w:p w14:paraId="506F9EC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3.6.7 离子源包括一个单独的法兰安装的射频中和器。</w:t>
      </w:r>
    </w:p>
    <w:p w14:paraId="5F6E4EE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3.6.8 需配备针对20 SCCM Ar校准的流量计，以按要求运行离子源。</w:t>
      </w:r>
    </w:p>
    <w:p w14:paraId="4ABB5D6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3.6.9 需配备一个校准为20 SCCM的流量计用于Ar流量控制，以运行射频中和器。</w:t>
      </w:r>
    </w:p>
    <w:p w14:paraId="4CE09AD2">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3.6.10 所有MFC都包括气动截止阀。</w:t>
      </w:r>
    </w:p>
    <w:p w14:paraId="61D5109E">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3.6.11 系统需配备离子源电源及所有必要的电缆。电源将同时为射频离子源和射频中和器提供电力。它包含射频电源、匹配网络和控制器。</w:t>
      </w:r>
    </w:p>
    <w:p w14:paraId="73E54DF3">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3.6.12 电源提供50至1500 eV的束电压，束电流高达350 mA。</w:t>
      </w:r>
    </w:p>
    <w:p w14:paraId="2BFC5FD6">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3.6.13 包括气体注入、射频激励和水冷所需的所有馈通。</w:t>
      </w:r>
    </w:p>
    <w:p w14:paraId="711F23C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3.6.14 离子源内部组件将可从腔室后壁上的可拆卸面板进入。</w:t>
      </w:r>
    </w:p>
    <w:p w14:paraId="3EBCB214">
      <w:pPr>
        <w:widowControl/>
        <w:tabs>
          <w:tab w:val="left" w:pos="8010"/>
        </w:tabs>
        <w:spacing w:line="360" w:lineRule="auto"/>
        <w:rPr>
          <w:rFonts w:hint="eastAsia" w:ascii="宋体" w:hAnsi="宋体"/>
          <w:b/>
          <w:bCs/>
          <w:color w:val="auto"/>
          <w:sz w:val="24"/>
          <w:highlight w:val="none"/>
        </w:rPr>
      </w:pPr>
      <w:r>
        <w:rPr>
          <w:rFonts w:hint="eastAsia" w:ascii="宋体" w:hAnsi="宋体"/>
          <w:color w:val="auto"/>
          <w:sz w:val="24"/>
          <w:highlight w:val="none"/>
        </w:rPr>
        <w:t>3.6.15 离子源将向一个镁靶材中心发射，靶材将与一个铜制水冷板连接。</w:t>
      </w:r>
      <w:r>
        <w:rPr>
          <w:rFonts w:ascii="宋体" w:hAnsi="宋体"/>
          <w:color w:val="auto"/>
          <w:sz w:val="24"/>
          <w:highlight w:val="none"/>
        </w:rPr>
        <w:br w:type="textWrapping"/>
      </w:r>
      <w:r>
        <w:rPr>
          <w:rFonts w:ascii="宋体" w:hAnsi="宋体"/>
          <w:color w:val="auto"/>
          <w:sz w:val="24"/>
          <w:highlight w:val="none"/>
        </w:rPr>
        <w:br w:type="textWrapping"/>
      </w:r>
      <w:bookmarkStart w:id="4" w:name="_Hlk177412974"/>
      <w:r>
        <w:rPr>
          <w:rFonts w:hint="eastAsia" w:ascii="宋体" w:hAnsi="宋体"/>
          <w:b/>
          <w:bCs/>
          <w:color w:val="auto"/>
          <w:sz w:val="24"/>
          <w:highlight w:val="none"/>
        </w:rPr>
        <w:t>3.7 水冷MgO靶组件和QCM：</w:t>
      </w:r>
    </w:p>
    <w:p w14:paraId="2BC304B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3.7.1 需要在腔室中心下方提供一个水冷靶组件。</w:t>
      </w:r>
    </w:p>
    <w:p w14:paraId="29251CB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3.7.2 水冷靶组件至少能够处理850毫米长x 300毫米宽x 6.3毫米厚的氧化镁靶材。</w:t>
      </w:r>
    </w:p>
    <w:p w14:paraId="4995EF4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3.7.3 靶尺寸需大于22cm×6cm，以确保上述射频源99.9%的离子束能够击中靶</w:t>
      </w:r>
      <w:bookmarkEnd w:id="4"/>
      <w:r>
        <w:rPr>
          <w:rFonts w:hint="eastAsia" w:ascii="宋体" w:hAnsi="宋体"/>
          <w:color w:val="auto"/>
          <w:sz w:val="24"/>
          <w:highlight w:val="none"/>
        </w:rPr>
        <w:t>。</w:t>
      </w:r>
    </w:p>
    <w:p w14:paraId="33EECA6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3.7.4 靶材应粘合到一个铜背板上，该背板将用螺栓固定在腔室中的水冷板上。</w:t>
      </w:r>
    </w:p>
    <w:p w14:paraId="7FD9582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3.7.5 水冷板需密封，以确保更换靶材时不会使系统暴露于水中，或防止O形圈漏水。</w:t>
      </w:r>
    </w:p>
    <w:p w14:paraId="7C88C26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3.7.6 水冷板可调节，以增加或减少带材与溅射离子源之间的距离。调节范围为±10毫米。</w:t>
      </w:r>
    </w:p>
    <w:p w14:paraId="16CDF82D">
      <w:pPr>
        <w:widowControl/>
        <w:tabs>
          <w:tab w:val="left" w:pos="8010"/>
        </w:tabs>
        <w:spacing w:line="360" w:lineRule="auto"/>
        <w:rPr>
          <w:rFonts w:hint="eastAsia" w:ascii="宋体" w:hAnsi="宋体"/>
          <w:color w:val="auto"/>
          <w:sz w:val="24"/>
          <w:highlight w:val="none"/>
        </w:rPr>
      </w:pPr>
      <w:bookmarkStart w:id="5" w:name="_Hlk177413020"/>
      <w:r>
        <w:rPr>
          <w:rFonts w:hint="eastAsia" w:ascii="宋体" w:hAnsi="宋体"/>
          <w:color w:val="auto"/>
          <w:sz w:val="24"/>
          <w:highlight w:val="none"/>
        </w:rPr>
        <w:t>3.7.7 沉积速率控制器需配备一对QCM</w:t>
      </w:r>
      <w:bookmarkEnd w:id="5"/>
      <w:r>
        <w:rPr>
          <w:rFonts w:hint="eastAsia" w:ascii="宋体" w:hAnsi="宋体"/>
          <w:color w:val="auto"/>
          <w:sz w:val="24"/>
          <w:highlight w:val="none"/>
        </w:rPr>
        <w:t>。</w:t>
      </w:r>
    </w:p>
    <w:p w14:paraId="2E805016">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3.7.8 每个QCM都有一个气动快门。</w:t>
      </w:r>
    </w:p>
    <w:p w14:paraId="45F68B7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3.7.9 控制器需位于沉积区的两侧。</w:t>
      </w:r>
    </w:p>
    <w:p w14:paraId="0AD4DEC3">
      <w:pPr>
        <w:widowControl/>
        <w:tabs>
          <w:tab w:val="left" w:pos="8010"/>
        </w:tabs>
        <w:spacing w:line="360" w:lineRule="auto"/>
        <w:rPr>
          <w:rFonts w:ascii="宋体" w:hAnsi="宋体"/>
          <w:color w:val="auto"/>
          <w:sz w:val="24"/>
          <w:highlight w:val="none"/>
        </w:rPr>
      </w:pPr>
      <w:r>
        <w:rPr>
          <w:rFonts w:hint="eastAsia" w:ascii="宋体" w:hAnsi="宋体"/>
          <w:color w:val="auto"/>
          <w:sz w:val="24"/>
          <w:highlight w:val="none"/>
        </w:rPr>
        <w:t>3.7.10 QCM可用于监测溅射通量的沉积速率随时间的变化，方法是定期打开百叶窗，获取读数，然后关闭百叶窗。</w:t>
      </w:r>
      <w:bookmarkStart w:id="6" w:name="_Hlk177413045"/>
    </w:p>
    <w:p w14:paraId="067F1C70">
      <w:pPr>
        <w:pStyle w:val="3"/>
        <w:rPr>
          <w:color w:val="auto"/>
          <w:highlight w:val="none"/>
        </w:rPr>
      </w:pPr>
    </w:p>
    <w:p w14:paraId="43BA46C0">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3.8 尺寸为22 x 6 cm的射频离子源，用于离子束辅助：</w:t>
      </w:r>
    </w:p>
    <w:p w14:paraId="485C544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3.8.1 尺寸为 22 x 6 cm的射频离子源，通过一对支架安装在腔室的前底部。</w:t>
      </w:r>
    </w:p>
    <w:p w14:paraId="62DC10BE">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▲3.8.2 支架允许调节离子源相对于靶材法线的入射角，调节范围为±2°，以45°为标称角度。</w:t>
      </w:r>
    </w:p>
    <w:p w14:paraId="0774C56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3.8.3 该离子源需配备一组三个发散的钼网格，以改善沉积区的束流均匀性。</w:t>
      </w:r>
    </w:p>
    <w:p w14:paraId="0797E5C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3.8.4 离子源包括一个单独的法兰安装的射频中和器</w:t>
      </w:r>
      <w:bookmarkEnd w:id="6"/>
      <w:r>
        <w:rPr>
          <w:rFonts w:hint="eastAsia" w:ascii="宋体" w:hAnsi="宋体"/>
          <w:color w:val="auto"/>
          <w:sz w:val="24"/>
          <w:highlight w:val="none"/>
        </w:rPr>
        <w:t>。</w:t>
      </w:r>
    </w:p>
    <w:p w14:paraId="18F96E9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3.8.5 两台校准为20 SCCM的流量计，用于Ar和O2流量控制，以按要求运行离子源。</w:t>
      </w:r>
    </w:p>
    <w:p w14:paraId="5155C38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3.8.6 一个校准为20 SCCM的流量计用于Ar流量控制，以运行射频中和器。</w:t>
      </w:r>
    </w:p>
    <w:p w14:paraId="18475E63">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3.8.7 所有MFC都包括气动截止阀。</w:t>
      </w:r>
    </w:p>
    <w:p w14:paraId="3D3CD4B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3.8.8 系统需配备离子源电源及所有必要的电缆。电源将同时为射频离子源和射频中和器提供电力，包括射频电源、匹配网络和控制器。</w:t>
      </w:r>
    </w:p>
    <w:p w14:paraId="27F146D0">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3.8.9 电源提供50至1500 eV的束电压。</w:t>
      </w:r>
    </w:p>
    <w:p w14:paraId="19B3C29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3.8.10 包括气体注入、射频激励和水冷所需的所有馈通。</w:t>
      </w:r>
    </w:p>
    <w:p w14:paraId="753DB01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3.8.11 离子源的内部组件可通过打开沉积腔室的主门进行访问。</w:t>
      </w:r>
    </w:p>
    <w:p w14:paraId="15BBD79B">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3.8.12 离子源将向上指向八条带材的中心。</w:t>
      </w:r>
    </w:p>
    <w:p w14:paraId="44EC53F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 xml:space="preserve">3.8.13 </w:t>
      </w:r>
      <w:r>
        <w:rPr>
          <w:rFonts w:ascii="宋体" w:hAnsi="宋体"/>
          <w:color w:val="auto"/>
          <w:sz w:val="24"/>
          <w:highlight w:val="none"/>
        </w:rPr>
        <w:t>一个法拉第杯将放置在弯曲板的边缘，用于监测离子束通量随时间的变化。</w:t>
      </w:r>
    </w:p>
    <w:p w14:paraId="3A2B44B5">
      <w:pPr>
        <w:widowControl/>
        <w:tabs>
          <w:tab w:val="left" w:pos="8010"/>
        </w:tabs>
        <w:spacing w:line="360" w:lineRule="auto"/>
        <w:rPr>
          <w:rFonts w:hint="eastAsia" w:ascii="宋体" w:hAnsi="宋体"/>
          <w:b/>
          <w:bCs/>
          <w:color w:val="auto"/>
          <w:sz w:val="24"/>
          <w:highlight w:val="none"/>
        </w:rPr>
      </w:pPr>
      <w:r>
        <w:rPr>
          <w:rFonts w:hint="eastAsia" w:ascii="宋体" w:hAnsi="宋体"/>
          <w:color w:val="auto"/>
          <w:sz w:val="24"/>
          <w:highlight w:val="none"/>
        </w:rPr>
        <w:t>3.8.14两个带速率监测器的单头QCM，以监测靶材的溅射通量。每个QCM都将包括一个快门，</w:t>
      </w:r>
      <w:r>
        <w:rPr>
          <w:rFonts w:ascii="宋体" w:hAnsi="宋体"/>
          <w:color w:val="auto"/>
          <w:sz w:val="24"/>
          <w:highlight w:val="none"/>
        </w:rPr>
        <w:t>以避免持续暴露于通量中</w:t>
      </w:r>
      <w:r>
        <w:rPr>
          <w:rFonts w:hint="eastAsia" w:ascii="宋体" w:hAnsi="宋体"/>
          <w:color w:val="auto"/>
          <w:sz w:val="24"/>
          <w:highlight w:val="none"/>
        </w:rPr>
        <w:t>。</w:t>
      </w:r>
      <w:r>
        <w:rPr>
          <w:rFonts w:ascii="宋体" w:hAnsi="宋体"/>
          <w:color w:val="auto"/>
          <w:sz w:val="24"/>
          <w:highlight w:val="none"/>
        </w:rPr>
        <w:br w:type="textWrapping"/>
      </w:r>
      <w:r>
        <w:rPr>
          <w:rFonts w:ascii="宋体" w:hAnsi="宋体"/>
          <w:color w:val="auto"/>
          <w:sz w:val="24"/>
          <w:highlight w:val="none"/>
        </w:rPr>
        <w:br w:type="textWrapping"/>
      </w:r>
      <w:r>
        <w:rPr>
          <w:rFonts w:hint="eastAsia" w:ascii="宋体" w:hAnsi="宋体"/>
          <w:b/>
          <w:bCs/>
          <w:color w:val="auto"/>
          <w:sz w:val="24"/>
          <w:highlight w:val="none"/>
        </w:rPr>
        <w:t>3.9 水冷沉积区及八条带材的多辊系统：</w:t>
      </w:r>
    </w:p>
    <w:p w14:paraId="360E7C1C">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3.9.1一个由304 L SS制成的弓形板，长约45.1厘米，宽约19厘米，曲率半径为5.08米。</w:t>
      </w:r>
    </w:p>
    <w:p w14:paraId="10514AA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3.9.2通过背面加工的水冷通道保持带材的低温。</w:t>
      </w:r>
    </w:p>
    <w:p w14:paraId="1AF73C2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▲3.9.3 当带材离开与弓形板的接触时，与弯曲板边缘的切线角度不大于5度。</w:t>
      </w:r>
    </w:p>
    <w:p w14:paraId="32E9CDA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3.9.4 除了冷却功能外，弓形板需能够向带材的背面输送氧气</w:t>
      </w:r>
    </w:p>
    <w:p w14:paraId="318350D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3.9.5 来自放卷室的带材将进入沉积腔，并接触第一组多辊系统的第一个辊子，形成八条带材的螺旋排列，所有带材都与弓形水冷的弯曲板接触。</w:t>
      </w:r>
    </w:p>
    <w:p w14:paraId="22F8975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3.9.6 每个辊子的直径为5.7英寸。</w:t>
      </w:r>
    </w:p>
    <w:p w14:paraId="2B05A879">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3.9.7 辊子的中心相距1.25米。</w:t>
      </w:r>
    </w:p>
    <w:p w14:paraId="4FF18950">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3.9.8 八条宽12 mm的带材之间间隙约为3 mm，形成约140 mm宽的沉积区域。</w:t>
      </w:r>
    </w:p>
    <w:p w14:paraId="10A05403">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3.9.9 弯曲板的精确中心可调节，以便稍微偏离MgO靶材中心，位于溅射材料通量的中心。</w:t>
      </w:r>
    </w:p>
    <w:p w14:paraId="6018EEBB">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3.9.10 需在每条带材下方设置四排孔（直径约为0.04英寸），用于将氧气直接输送到带材背面。</w:t>
      </w:r>
    </w:p>
    <w:p w14:paraId="010C173C">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3.9.11通过校准为20 SCCM氧气的流量计向板供应氧气。包括一个气动截止阀。</w:t>
      </w:r>
    </w:p>
    <w:p w14:paraId="05EDEDD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3.9.12弓形板前需安装一个不锈钢挡板，用于限定溅射通量和入射离子束的沉积区大小。</w:t>
      </w:r>
    </w:p>
    <w:p w14:paraId="6775792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3.9.13 挡板的开口沿带材运动方向可调，范围约为16至20厘米长、17.5厘米宽。</w:t>
      </w:r>
    </w:p>
    <w:p w14:paraId="36099D0C">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3.9.14 防护罩需易于拆卸，并配备一套备用防护罩以实现快速周转。</w:t>
      </w:r>
    </w:p>
    <w:p w14:paraId="64F05E0C">
      <w:pPr>
        <w:widowControl/>
        <w:tabs>
          <w:tab w:val="left" w:pos="8010"/>
        </w:tabs>
        <w:spacing w:line="360" w:lineRule="auto"/>
        <w:rPr>
          <w:rFonts w:ascii="宋体" w:hAnsi="宋体"/>
          <w:color w:val="auto"/>
          <w:sz w:val="24"/>
          <w:highlight w:val="none"/>
        </w:rPr>
      </w:pPr>
      <w:r>
        <w:rPr>
          <w:rFonts w:hint="eastAsia" w:ascii="宋体" w:hAnsi="宋体"/>
          <w:color w:val="auto"/>
          <w:sz w:val="24"/>
          <w:highlight w:val="none"/>
        </w:rPr>
        <w:t>3.9.15 腔室内将始终留有带材头，可以与新带材进行点焊连接。</w:t>
      </w:r>
    </w:p>
    <w:p w14:paraId="28758C6D">
      <w:pPr>
        <w:widowControl/>
        <w:tabs>
          <w:tab w:val="left" w:pos="8010"/>
        </w:tabs>
        <w:spacing w:line="360" w:lineRule="auto"/>
        <w:rPr>
          <w:rFonts w:hint="eastAsia" w:ascii="宋体" w:hAnsi="宋体"/>
          <w:b/>
          <w:bCs/>
          <w:color w:val="auto"/>
          <w:sz w:val="24"/>
          <w:highlight w:val="none"/>
        </w:rPr>
      </w:pPr>
      <w:r>
        <w:rPr>
          <w:rFonts w:ascii="宋体" w:hAnsi="宋体"/>
          <w:color w:val="auto"/>
          <w:sz w:val="24"/>
          <w:highlight w:val="none"/>
        </w:rPr>
        <w:br w:type="textWrapping"/>
      </w:r>
      <w:r>
        <w:rPr>
          <w:rFonts w:hint="eastAsia" w:ascii="宋体" w:hAnsi="宋体"/>
          <w:b/>
          <w:bCs/>
          <w:color w:val="auto"/>
          <w:sz w:val="24"/>
          <w:highlight w:val="none"/>
        </w:rPr>
        <w:t>3.10 腔室</w:t>
      </w:r>
      <w:bookmarkStart w:id="7" w:name="_Hlk178009736"/>
      <w:r>
        <w:rPr>
          <w:rFonts w:hint="eastAsia" w:ascii="宋体" w:hAnsi="宋体"/>
          <w:b/>
          <w:bCs/>
          <w:color w:val="auto"/>
          <w:sz w:val="24"/>
          <w:highlight w:val="none"/>
        </w:rPr>
        <w:t>支撑架</w:t>
      </w:r>
      <w:bookmarkEnd w:id="7"/>
      <w:r>
        <w:rPr>
          <w:rFonts w:hint="eastAsia" w:ascii="宋体" w:hAnsi="宋体"/>
          <w:b/>
          <w:bCs/>
          <w:color w:val="auto"/>
          <w:sz w:val="24"/>
          <w:highlight w:val="none"/>
        </w:rPr>
        <w:t>：</w:t>
      </w:r>
    </w:p>
    <w:p w14:paraId="510E97B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 xml:space="preserve">3.10.1 需配备模块化CRS支撑架，以支撑放卷室，IBAD室、RHEED室和收卷室。 </w:t>
      </w:r>
    </w:p>
    <w:p w14:paraId="0F71C1A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3.10.2 框架将支撑配电箱、带水流开关的水歧管、压缩空气和干燥氮气歧管等。</w:t>
      </w:r>
    </w:p>
    <w:p w14:paraId="758B83A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3.10.3 所有MFC集成到框架中。</w:t>
      </w:r>
    </w:p>
    <w:p w14:paraId="38C9E74C">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3.10.4支撑架需能够在现场进行组装，并带有调平垫和重型脚轮。</w:t>
      </w:r>
    </w:p>
    <w:p w14:paraId="342EDE8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3.10.6 支撑架需包括用于工艺气体、干燥氮气和压缩空气气体的所有气体输入管线。</w:t>
      </w:r>
    </w:p>
    <w:p w14:paraId="76718030">
      <w:pPr>
        <w:pStyle w:val="3"/>
        <w:rPr>
          <w:color w:val="auto"/>
          <w:highlight w:val="none"/>
        </w:rPr>
      </w:pPr>
    </w:p>
    <w:p w14:paraId="4284C291">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3.11 差分泵和RHEED腔室</w:t>
      </w:r>
    </w:p>
    <w:p w14:paraId="57231F5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3.11.1 在沉积室和收卷室之间需要安装一个圆柱形腔体，以减少交叉污染，并在高度织构化的MgO层生长后，持续进行RHEED薄膜质量分析。</w:t>
      </w:r>
    </w:p>
    <w:p w14:paraId="2208F08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3.11.2需为该腔体将提供至少一台涡轮分子泵，背后有一台罗茨泵作为支撑。</w:t>
      </w:r>
    </w:p>
    <w:p w14:paraId="702CA9BC">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3.11.3 气动闸阀位于涡轮泵和腔室之间。</w:t>
      </w:r>
    </w:p>
    <w:p w14:paraId="4DC1851B">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3.11.4 包括气动真空阀、离子规，用于压力测量。</w:t>
      </w:r>
    </w:p>
    <w:p w14:paraId="7FC9809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3.11.5 RHEED腔内安装了一个铝制辊轮，以确保在带材移动时，带材的水平位置保持固定，便于RHEED电子束扫描。</w:t>
      </w:r>
    </w:p>
    <w:p w14:paraId="2A6F3DB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▲3.11.6 30 keV电子源和磷光屏安装在6英寸的视口上，带有差分泵包。</w:t>
      </w:r>
    </w:p>
    <w:p w14:paraId="266B3F2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3.11.6电子枪的一级差分抽气通过至少一台涡轮分子泵实现，以确保压力保持在适合操作的范围内。</w:t>
      </w:r>
    </w:p>
    <w:p w14:paraId="167A648F">
      <w:pPr>
        <w:pStyle w:val="3"/>
        <w:rPr>
          <w:rFonts w:hint="eastAsia"/>
          <w:b/>
          <w:bCs/>
          <w:color w:val="auto"/>
          <w:highlight w:val="none"/>
        </w:rPr>
      </w:pPr>
      <w:r>
        <w:rPr>
          <w:rFonts w:hint="eastAsia"/>
          <w:color w:val="auto"/>
          <w:sz w:val="24"/>
          <w:szCs w:val="24"/>
          <w:highlight w:val="none"/>
        </w:rPr>
        <w:t>3.11.7 包括RHEED分析系统和软件包。</w:t>
      </w:r>
      <w:r>
        <w:rPr>
          <w:color w:val="auto"/>
          <w:highlight w:val="none"/>
        </w:rPr>
        <w:br w:type="textWrapping"/>
      </w:r>
      <w:r>
        <w:rPr>
          <w:color w:val="auto"/>
          <w:highlight w:val="none"/>
        </w:rPr>
        <w:br w:type="textWrapping"/>
      </w:r>
      <w:r>
        <w:rPr>
          <w:rFonts w:hint="eastAsia"/>
          <w:b/>
          <w:bCs/>
          <w:color w:val="auto"/>
          <w:sz w:val="24"/>
          <w:szCs w:val="22"/>
          <w:highlight w:val="none"/>
        </w:rPr>
        <w:t>3.12 2号收卷室：</w:t>
      </w:r>
    </w:p>
    <w:p w14:paraId="33FF0E74">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3.12.1 用于收带的箱式卷轴室将安装在带有自身调平垫的支撑架上。</w:t>
      </w:r>
    </w:p>
    <w:p w14:paraId="091EAFD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3.12.2 腔室由304L不锈钢制成，带有前置铰链门，通过氟橡胶O型圈密封。</w:t>
      </w:r>
    </w:p>
    <w:p w14:paraId="1F8F7CD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3.12.3 制造完成后，需对腔室进行电抛光。</w:t>
      </w:r>
    </w:p>
    <w:p w14:paraId="2E142C04">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3.12.4 腔体包括多个端口：用于顶部、前部和侧面观察卷轴和带材的视口，Ferro密封进样口，以及一个10英寸CF法兰端口，用于与沉积腔连接。</w:t>
      </w:r>
    </w:p>
    <w:p w14:paraId="5FCAA584">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3.12.5 包括至少3个备用端口。</w:t>
      </w:r>
    </w:p>
    <w:p w14:paraId="6A677B8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3.12.6 所有CF法兰端口需包括镀银公制硬件，以尽量减少摩擦。</w:t>
      </w:r>
    </w:p>
    <w:p w14:paraId="142E810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3.12.7 该腔室需能够处理17英寸外径、至少20 kg重的线轴。</w:t>
      </w:r>
    </w:p>
    <w:p w14:paraId="763E3452">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▲3.12.8卷轴至少可容纳1.1公里长、厚度为100微米的带材。</w:t>
      </w:r>
    </w:p>
    <w:p w14:paraId="7D6EFE9A">
      <w:pPr>
        <w:pStyle w:val="3"/>
        <w:rPr>
          <w:color w:val="auto"/>
          <w:highlight w:val="none"/>
        </w:rPr>
      </w:pPr>
    </w:p>
    <w:p w14:paraId="4781785A">
      <w:pPr>
        <w:widowControl/>
        <w:tabs>
          <w:tab w:val="left" w:pos="8010"/>
        </w:tabs>
        <w:spacing w:line="360" w:lineRule="auto"/>
        <w:rPr>
          <w:rFonts w:hint="eastAsia" w:ascii="宋体" w:hAnsi="宋体"/>
          <w:b/>
          <w:bCs/>
          <w:color w:val="auto"/>
          <w:sz w:val="24"/>
          <w:highlight w:val="none"/>
        </w:rPr>
      </w:pPr>
      <w:r>
        <w:rPr>
          <w:rFonts w:hint="eastAsia" w:ascii="宋体" w:hAnsi="宋体"/>
          <w:b/>
          <w:bCs/>
          <w:color w:val="auto"/>
          <w:sz w:val="24"/>
          <w:highlight w:val="none"/>
        </w:rPr>
        <w:t>3.13 2号</w:t>
      </w:r>
      <w:bookmarkStart w:id="8" w:name="_Hlk177546223"/>
      <w:r>
        <w:rPr>
          <w:rFonts w:hint="eastAsia" w:ascii="宋体" w:hAnsi="宋体"/>
          <w:b/>
          <w:bCs/>
          <w:color w:val="auto"/>
          <w:sz w:val="24"/>
          <w:highlight w:val="none"/>
        </w:rPr>
        <w:t>收卷</w:t>
      </w:r>
      <w:bookmarkEnd w:id="8"/>
      <w:r>
        <w:rPr>
          <w:rFonts w:hint="eastAsia" w:ascii="宋体" w:hAnsi="宋体"/>
          <w:b/>
          <w:bCs/>
          <w:color w:val="auto"/>
          <w:sz w:val="24"/>
          <w:highlight w:val="none"/>
        </w:rPr>
        <w:t>室，带材传输、速度和张力控制：</w:t>
      </w:r>
    </w:p>
    <w:p w14:paraId="73B1340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3.13.1 线轴的内径为3英寸，外径为17英寸。</w:t>
      </w:r>
    </w:p>
    <w:p w14:paraId="0EB8C87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▲3.13.2 收卷室需配备可容纳外径17英寸的卷筒，以及长1.1公里的12毫米宽、100微米厚的带材。</w:t>
      </w:r>
    </w:p>
    <w:p w14:paraId="309BDC24">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 xml:space="preserve">3.13.3 收卷需包括一个重型铁磁流体旋转馈通，轴外径为¾”。 </w:t>
      </w:r>
    </w:p>
    <w:p w14:paraId="673E38D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3.13.4 轴需具有内部扩展部分，由内部轴承支撑，以支撑卷轴的重量，并提供轴向调整功能。</w:t>
      </w:r>
    </w:p>
    <w:p w14:paraId="20A9480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3.13.5 卷轴放置在轴组件上后，需在轴的一端插入一个轴承支架，以提供轴组件的全方位支撑。</w:t>
      </w:r>
    </w:p>
    <w:p w14:paraId="77FBF25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3.13.6 大型铁磁流体密封馈通的大气侧将连接到电动离合器和步进电机驱动器。</w:t>
      </w:r>
    </w:p>
    <w:p w14:paraId="36654FB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3.13.7 需提供第二个较小的带¼”外径轴的铁磁流体密封馈通，用于带材速度测量和控制。</w:t>
      </w:r>
    </w:p>
    <w:p w14:paraId="490CEC0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3.13.8 该卷轴需有一个直径为4.5英寸外径的内部惰轮和三个氟橡胶O型圈，用于接触带材背面，以尽量减少带材打滑。</w:t>
      </w:r>
    </w:p>
    <w:p w14:paraId="53C4D0B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3.13.9馈通轴的大气侧需要连接到编码器，以直接测量带材速度。</w:t>
      </w:r>
    </w:p>
    <w:p w14:paraId="0B213F8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3.13.10在另一个轴和轴承组上安装一个原位张力测量装置，以提供带材张力的直接测量。</w:t>
      </w:r>
    </w:p>
    <w:p w14:paraId="0F8D71E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▲3.13.11 与机器另一侧的放带腔配合，至少提供0至200米/小时的带材速度，带材张力范围至少为0至5 kgf（50 N）。</w:t>
      </w:r>
    </w:p>
    <w:p w14:paraId="6FF12D3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3.13.12 带材传输系统是完全双向的。</w:t>
      </w:r>
    </w:p>
    <w:p w14:paraId="72E121E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▲3.13.13 以50-200m/h的速度运行时，带材速度的变化将为±3%</w:t>
      </w:r>
    </w:p>
    <w:p w14:paraId="0E70181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▲3.13.14 对于2.5-5kgf范围内的带材张力，张力变化将小于±5%</w:t>
      </w:r>
    </w:p>
    <w:p w14:paraId="04B1616E">
      <w:pPr>
        <w:pStyle w:val="3"/>
        <w:spacing w:line="360" w:lineRule="auto"/>
        <w:rPr>
          <w:rFonts w:hint="eastAsia"/>
          <w:color w:val="auto"/>
          <w:highlight w:val="none"/>
        </w:rPr>
      </w:pPr>
      <w:r>
        <w:rPr>
          <w:color w:val="auto"/>
          <w:highlight w:val="none"/>
        </w:rPr>
        <w:br w:type="textWrapping"/>
      </w:r>
      <w:r>
        <w:rPr>
          <w:rFonts w:hint="eastAsia"/>
          <w:color w:val="auto"/>
          <w:sz w:val="24"/>
          <w:szCs w:val="22"/>
          <w:highlight w:val="none"/>
        </w:rPr>
        <w:t>3.14 工作站控制和HMI：</w:t>
      </w:r>
    </w:p>
    <w:p w14:paraId="351A23C7">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3.14.1 需提供运行Windows 11和64位微处理器的工作站。</w:t>
      </w:r>
    </w:p>
    <w:p w14:paraId="15CF968B">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3.14.2 PLC单元将作为工作站和系统之间的接口。</w:t>
      </w:r>
    </w:p>
    <w:p w14:paraId="2DB08F3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3.14.3 界面需有三个级别的用户：1）基本用户-只能运行预设程序2）工程用户-可以根据需要编写、存储和加载配方。3）服务-可以完成上述所有操作，并根据需要覆盖某些软件联锁；</w:t>
      </w:r>
    </w:p>
    <w:p w14:paraId="7F39165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3.14.4 用户界面需有多个屏幕，用于系统操作、状态、维护等。</w:t>
      </w:r>
    </w:p>
    <w:p w14:paraId="436E54F3">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3.14.5可自动保存所有相关沉积参数的数据记录。</w:t>
      </w:r>
    </w:p>
    <w:p w14:paraId="511FEDD8">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3.14.6记录数据可进行提取，并能独立作图操作。</w:t>
      </w:r>
    </w:p>
    <w:p w14:paraId="6440151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3.14.7 数据采集时间可由用户定义，从每秒一次到每5分钟一次。</w:t>
      </w:r>
    </w:p>
    <w:p w14:paraId="2DF74301">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3.14.8 所收集的信息类型包括以下内容：</w:t>
      </w:r>
    </w:p>
    <w:p w14:paraId="37CCA14A">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带材张力、带材速度、带材位置、MFC流速、腔室压力、离子束参数、冷却水流速和温度。</w:t>
      </w:r>
    </w:p>
    <w:p w14:paraId="294F09A2">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3.14.9允许用户定义带材速度和张力的所有设置。</w:t>
      </w:r>
    </w:p>
    <w:p w14:paraId="7898773F">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3.14.10提供一张图表，显示系统主要部件的示意图，指示灯显示哪些部件正在运行。</w:t>
      </w:r>
    </w:p>
    <w:p w14:paraId="22307BBD">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3.14.11 当出现“带材断裂”警报时，将停止带材运动并关闭离子源。</w:t>
      </w:r>
    </w:p>
    <w:p w14:paraId="4E743955">
      <w:pPr>
        <w:widowControl/>
        <w:tabs>
          <w:tab w:val="left" w:pos="8010"/>
        </w:tabs>
        <w:spacing w:line="360" w:lineRule="auto"/>
        <w:rPr>
          <w:rFonts w:hint="eastAsia" w:ascii="宋体" w:hAnsi="宋体"/>
          <w:color w:val="auto"/>
          <w:sz w:val="24"/>
          <w:highlight w:val="none"/>
        </w:rPr>
      </w:pPr>
      <w:r>
        <w:rPr>
          <w:rFonts w:hint="eastAsia" w:ascii="宋体" w:hAnsi="宋体"/>
          <w:color w:val="auto"/>
          <w:sz w:val="24"/>
          <w:highlight w:val="none"/>
        </w:rPr>
        <w:t>3.14.12 可以远程登录工作站以升级软件、调试问题或评估技术问题。</w:t>
      </w:r>
    </w:p>
    <w:p w14:paraId="14ED56EA">
      <w:pPr>
        <w:pStyle w:val="3"/>
        <w:ind w:firstLine="420" w:firstLineChars="200"/>
        <w:rPr>
          <w:color w:val="auto"/>
          <w:highlight w:val="none"/>
        </w:rPr>
      </w:pPr>
    </w:p>
    <w:p w14:paraId="269841BC">
      <w:pPr>
        <w:pStyle w:val="3"/>
        <w:rPr>
          <w:color w:val="auto"/>
          <w:highlight w:val="none"/>
        </w:rPr>
      </w:pPr>
    </w:p>
    <w:p w14:paraId="7BA77C64">
      <w:pPr>
        <w:widowControl/>
        <w:tabs>
          <w:tab w:val="left" w:pos="8010"/>
        </w:tabs>
        <w:snapToGrid w:val="0"/>
        <w:spacing w:line="360" w:lineRule="auto"/>
        <w:rPr>
          <w:rFonts w:ascii="宋体" w:hAnsi="宋体"/>
          <w:b/>
          <w:color w:val="auto"/>
          <w:sz w:val="24"/>
          <w:highlight w:val="none"/>
        </w:rPr>
      </w:pPr>
      <w:r>
        <w:rPr>
          <w:rFonts w:hint="eastAsia" w:ascii="宋体" w:hAnsi="宋体"/>
          <w:b/>
          <w:color w:val="auto"/>
          <w:sz w:val="24"/>
          <w:highlight w:val="none"/>
        </w:rPr>
        <w:t>4</w:t>
      </w:r>
      <w:r>
        <w:rPr>
          <w:rFonts w:ascii="宋体" w:hAnsi="宋体"/>
          <w:b/>
          <w:color w:val="auto"/>
          <w:sz w:val="24"/>
          <w:highlight w:val="none"/>
        </w:rPr>
        <w:t>、配置清单及零配件（包括专用工具）：</w:t>
      </w:r>
    </w:p>
    <w:tbl>
      <w:tblPr>
        <w:tblStyle w:val="4"/>
        <w:tblW w:w="8926" w:type="dxa"/>
        <w:tblInd w:w="113" w:type="dxa"/>
        <w:tblLayout w:type="autofit"/>
        <w:tblCellMar>
          <w:top w:w="0" w:type="dxa"/>
          <w:left w:w="108" w:type="dxa"/>
          <w:bottom w:w="0" w:type="dxa"/>
          <w:right w:w="108" w:type="dxa"/>
        </w:tblCellMar>
      </w:tblPr>
      <w:tblGrid>
        <w:gridCol w:w="846"/>
        <w:gridCol w:w="6095"/>
        <w:gridCol w:w="992"/>
        <w:gridCol w:w="993"/>
      </w:tblGrid>
      <w:tr w14:paraId="568A2DA8">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742E6F2A">
            <w:pPr>
              <w:widowControl/>
              <w:snapToGrid w:val="0"/>
              <w:spacing w:before="156" w:beforeLines="50" w:line="360" w:lineRule="auto"/>
              <w:jc w:val="center"/>
              <w:rPr>
                <w:rFonts w:ascii="宋体" w:hAnsi="宋体"/>
                <w:b/>
                <w:bCs/>
                <w:color w:val="auto"/>
                <w:sz w:val="24"/>
                <w:highlight w:val="none"/>
              </w:rPr>
            </w:pPr>
            <w:r>
              <w:rPr>
                <w:rFonts w:ascii="宋体" w:hAnsi="宋体"/>
                <w:b/>
                <w:bCs/>
                <w:color w:val="auto"/>
                <w:sz w:val="24"/>
                <w:highlight w:val="none"/>
              </w:rPr>
              <w:t>序号</w:t>
            </w:r>
          </w:p>
        </w:tc>
        <w:tc>
          <w:tcPr>
            <w:tcW w:w="6095" w:type="dxa"/>
            <w:tcBorders>
              <w:top w:val="single" w:color="auto" w:sz="4" w:space="0"/>
              <w:left w:val="nil"/>
              <w:bottom w:val="single" w:color="auto" w:sz="4" w:space="0"/>
              <w:right w:val="single" w:color="auto" w:sz="4" w:space="0"/>
            </w:tcBorders>
            <w:noWrap/>
            <w:vAlign w:val="center"/>
          </w:tcPr>
          <w:p w14:paraId="20B8F595">
            <w:pPr>
              <w:widowControl/>
              <w:snapToGrid w:val="0"/>
              <w:spacing w:before="156" w:beforeLines="50" w:line="360" w:lineRule="auto"/>
              <w:jc w:val="center"/>
              <w:rPr>
                <w:rFonts w:ascii="宋体" w:hAnsi="宋体"/>
                <w:b/>
                <w:bCs/>
                <w:color w:val="auto"/>
                <w:sz w:val="24"/>
                <w:highlight w:val="none"/>
              </w:rPr>
            </w:pPr>
            <w:r>
              <w:rPr>
                <w:rFonts w:ascii="宋体" w:hAnsi="宋体"/>
                <w:b/>
                <w:bCs/>
                <w:color w:val="auto"/>
                <w:sz w:val="24"/>
                <w:highlight w:val="none"/>
              </w:rPr>
              <w:t>名称</w:t>
            </w:r>
          </w:p>
        </w:tc>
        <w:tc>
          <w:tcPr>
            <w:tcW w:w="992" w:type="dxa"/>
            <w:tcBorders>
              <w:top w:val="single" w:color="auto" w:sz="4" w:space="0"/>
              <w:left w:val="nil"/>
              <w:bottom w:val="single" w:color="auto" w:sz="4" w:space="0"/>
              <w:right w:val="single" w:color="auto" w:sz="4" w:space="0"/>
            </w:tcBorders>
            <w:noWrap/>
            <w:vAlign w:val="center"/>
          </w:tcPr>
          <w:p w14:paraId="44F6EE64">
            <w:pPr>
              <w:widowControl/>
              <w:snapToGrid w:val="0"/>
              <w:spacing w:before="156" w:beforeLines="50" w:line="360" w:lineRule="auto"/>
              <w:jc w:val="center"/>
              <w:rPr>
                <w:rFonts w:ascii="宋体" w:hAnsi="宋体"/>
                <w:b/>
                <w:bCs/>
                <w:color w:val="auto"/>
                <w:sz w:val="24"/>
                <w:highlight w:val="none"/>
              </w:rPr>
            </w:pPr>
            <w:r>
              <w:rPr>
                <w:rFonts w:ascii="宋体" w:hAnsi="宋体"/>
                <w:b/>
                <w:bCs/>
                <w:color w:val="auto"/>
                <w:sz w:val="24"/>
                <w:highlight w:val="none"/>
              </w:rPr>
              <w:t>单位</w:t>
            </w:r>
          </w:p>
        </w:tc>
        <w:tc>
          <w:tcPr>
            <w:tcW w:w="993" w:type="dxa"/>
            <w:tcBorders>
              <w:top w:val="single" w:color="auto" w:sz="4" w:space="0"/>
              <w:left w:val="nil"/>
              <w:bottom w:val="single" w:color="auto" w:sz="4" w:space="0"/>
              <w:right w:val="single" w:color="auto" w:sz="4" w:space="0"/>
            </w:tcBorders>
            <w:noWrap/>
            <w:vAlign w:val="center"/>
          </w:tcPr>
          <w:p w14:paraId="37C387B5">
            <w:pPr>
              <w:widowControl/>
              <w:snapToGrid w:val="0"/>
              <w:spacing w:before="156" w:beforeLines="50" w:line="360" w:lineRule="auto"/>
              <w:jc w:val="center"/>
              <w:rPr>
                <w:rFonts w:ascii="宋体" w:hAnsi="宋体"/>
                <w:b/>
                <w:bCs/>
                <w:color w:val="auto"/>
                <w:sz w:val="24"/>
                <w:highlight w:val="none"/>
              </w:rPr>
            </w:pPr>
            <w:r>
              <w:rPr>
                <w:rFonts w:ascii="宋体" w:hAnsi="宋体"/>
                <w:b/>
                <w:bCs/>
                <w:color w:val="auto"/>
                <w:sz w:val="24"/>
                <w:highlight w:val="none"/>
              </w:rPr>
              <w:t>数量</w:t>
            </w:r>
          </w:p>
        </w:tc>
      </w:tr>
      <w:tr w14:paraId="034C4EA5">
        <w:tblPrEx>
          <w:tblCellMar>
            <w:top w:w="0" w:type="dxa"/>
            <w:left w:w="108" w:type="dxa"/>
            <w:bottom w:w="0" w:type="dxa"/>
            <w:right w:w="108" w:type="dxa"/>
          </w:tblCellMar>
        </w:tblPrEx>
        <w:trPr>
          <w:trHeight w:val="280" w:hRule="atLeast"/>
        </w:trPr>
        <w:tc>
          <w:tcPr>
            <w:tcW w:w="846" w:type="dxa"/>
            <w:tcBorders>
              <w:top w:val="nil"/>
              <w:left w:val="single" w:color="auto" w:sz="4" w:space="0"/>
              <w:bottom w:val="single" w:color="auto" w:sz="4" w:space="0"/>
              <w:right w:val="single" w:color="auto" w:sz="4" w:space="0"/>
            </w:tcBorders>
            <w:noWrap/>
            <w:vAlign w:val="center"/>
          </w:tcPr>
          <w:p w14:paraId="16E6B00C">
            <w:pPr>
              <w:widowControl/>
              <w:snapToGrid w:val="0"/>
              <w:spacing w:before="156" w:beforeLines="50" w:line="360" w:lineRule="auto"/>
              <w:jc w:val="center"/>
              <w:rPr>
                <w:rFonts w:ascii="宋体" w:hAnsi="宋体"/>
                <w:color w:val="auto"/>
                <w:sz w:val="24"/>
                <w:highlight w:val="none"/>
              </w:rPr>
            </w:pPr>
            <w:r>
              <w:rPr>
                <w:rFonts w:ascii="宋体" w:hAnsi="宋体"/>
                <w:color w:val="auto"/>
                <w:sz w:val="24"/>
                <w:highlight w:val="none"/>
              </w:rPr>
              <w:t>1</w:t>
            </w:r>
          </w:p>
        </w:tc>
        <w:tc>
          <w:tcPr>
            <w:tcW w:w="6095" w:type="dxa"/>
            <w:tcBorders>
              <w:top w:val="nil"/>
              <w:left w:val="nil"/>
              <w:bottom w:val="single" w:color="auto" w:sz="4" w:space="0"/>
              <w:right w:val="single" w:color="auto" w:sz="4" w:space="0"/>
            </w:tcBorders>
            <w:noWrap/>
            <w:vAlign w:val="center"/>
          </w:tcPr>
          <w:p w14:paraId="5A42FEE7">
            <w:pPr>
              <w:widowControl/>
              <w:rPr>
                <w:rFonts w:hint="eastAsia" w:ascii="宋体" w:hAnsi="宋体"/>
                <w:color w:val="auto"/>
                <w:sz w:val="24"/>
                <w:highlight w:val="none"/>
              </w:rPr>
            </w:pPr>
            <w:r>
              <w:rPr>
                <w:rFonts w:hint="eastAsia" w:ascii="宋体" w:hAnsi="宋体"/>
                <w:color w:val="auto"/>
                <w:sz w:val="24"/>
                <w:highlight w:val="none"/>
              </w:rPr>
              <w:t>卷筒提升部件</w:t>
            </w:r>
          </w:p>
        </w:tc>
        <w:tc>
          <w:tcPr>
            <w:tcW w:w="992" w:type="dxa"/>
            <w:tcBorders>
              <w:top w:val="nil"/>
              <w:left w:val="nil"/>
              <w:bottom w:val="single" w:color="auto" w:sz="4" w:space="0"/>
              <w:right w:val="single" w:color="auto" w:sz="4" w:space="0"/>
            </w:tcBorders>
            <w:noWrap/>
            <w:vAlign w:val="center"/>
          </w:tcPr>
          <w:p w14:paraId="502DFD56">
            <w:pPr>
              <w:widowControl/>
              <w:snapToGrid w:val="0"/>
              <w:spacing w:before="156" w:beforeLines="50" w:line="360" w:lineRule="auto"/>
              <w:jc w:val="center"/>
              <w:rPr>
                <w:rFonts w:ascii="宋体" w:hAnsi="宋体"/>
                <w:color w:val="auto"/>
                <w:sz w:val="24"/>
                <w:highlight w:val="none"/>
              </w:rPr>
            </w:pPr>
            <w:r>
              <w:rPr>
                <w:rFonts w:ascii="宋体" w:hAnsi="宋体"/>
                <w:color w:val="auto"/>
                <w:sz w:val="24"/>
                <w:highlight w:val="none"/>
              </w:rPr>
              <w:t>个</w:t>
            </w:r>
          </w:p>
        </w:tc>
        <w:tc>
          <w:tcPr>
            <w:tcW w:w="993" w:type="dxa"/>
            <w:tcBorders>
              <w:top w:val="nil"/>
              <w:left w:val="nil"/>
              <w:bottom w:val="single" w:color="auto" w:sz="4" w:space="0"/>
              <w:right w:val="single" w:color="auto" w:sz="4" w:space="0"/>
            </w:tcBorders>
            <w:noWrap/>
            <w:vAlign w:val="center"/>
          </w:tcPr>
          <w:p w14:paraId="35A3F02B">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1</w:t>
            </w:r>
          </w:p>
        </w:tc>
      </w:tr>
      <w:tr w14:paraId="1955D105">
        <w:tblPrEx>
          <w:tblCellMar>
            <w:top w:w="0" w:type="dxa"/>
            <w:left w:w="108" w:type="dxa"/>
            <w:bottom w:w="0" w:type="dxa"/>
            <w:right w:w="108" w:type="dxa"/>
          </w:tblCellMar>
        </w:tblPrEx>
        <w:trPr>
          <w:trHeight w:val="280" w:hRule="atLeast"/>
        </w:trPr>
        <w:tc>
          <w:tcPr>
            <w:tcW w:w="846" w:type="dxa"/>
            <w:tcBorders>
              <w:top w:val="nil"/>
              <w:left w:val="single" w:color="auto" w:sz="4" w:space="0"/>
              <w:bottom w:val="single" w:color="auto" w:sz="4" w:space="0"/>
              <w:right w:val="single" w:color="auto" w:sz="4" w:space="0"/>
            </w:tcBorders>
            <w:noWrap/>
            <w:vAlign w:val="center"/>
          </w:tcPr>
          <w:p w14:paraId="2AD021D6">
            <w:pPr>
              <w:widowControl/>
              <w:snapToGrid w:val="0"/>
              <w:spacing w:before="156" w:beforeLines="50" w:line="360" w:lineRule="auto"/>
              <w:jc w:val="center"/>
              <w:rPr>
                <w:rFonts w:ascii="宋体" w:hAnsi="宋体"/>
                <w:color w:val="auto"/>
                <w:sz w:val="24"/>
                <w:highlight w:val="none"/>
              </w:rPr>
            </w:pPr>
            <w:r>
              <w:rPr>
                <w:rFonts w:ascii="宋体" w:hAnsi="宋体"/>
                <w:color w:val="auto"/>
                <w:sz w:val="24"/>
                <w:highlight w:val="none"/>
              </w:rPr>
              <w:t>2</w:t>
            </w:r>
          </w:p>
        </w:tc>
        <w:tc>
          <w:tcPr>
            <w:tcW w:w="6095" w:type="dxa"/>
            <w:tcBorders>
              <w:top w:val="nil"/>
              <w:left w:val="nil"/>
              <w:bottom w:val="single" w:color="auto" w:sz="4" w:space="0"/>
              <w:right w:val="single" w:color="auto" w:sz="4" w:space="0"/>
            </w:tcBorders>
            <w:noWrap/>
            <w:vAlign w:val="center"/>
          </w:tcPr>
          <w:p w14:paraId="79949CE2">
            <w:pPr>
              <w:widowControl/>
              <w:rPr>
                <w:rFonts w:hint="eastAsia" w:ascii="宋体" w:hAnsi="宋体"/>
                <w:color w:val="auto"/>
                <w:sz w:val="24"/>
                <w:highlight w:val="none"/>
              </w:rPr>
            </w:pPr>
            <w:r>
              <w:rPr>
                <w:rFonts w:hint="eastAsia" w:ascii="宋体" w:hAnsi="宋体"/>
                <w:color w:val="auto"/>
                <w:sz w:val="24"/>
                <w:highlight w:val="none"/>
              </w:rPr>
              <w:t>1号放卷室</w:t>
            </w:r>
          </w:p>
        </w:tc>
        <w:tc>
          <w:tcPr>
            <w:tcW w:w="992" w:type="dxa"/>
            <w:tcBorders>
              <w:top w:val="nil"/>
              <w:left w:val="nil"/>
              <w:bottom w:val="single" w:color="auto" w:sz="4" w:space="0"/>
              <w:right w:val="single" w:color="auto" w:sz="4" w:space="0"/>
            </w:tcBorders>
            <w:noWrap/>
            <w:vAlign w:val="center"/>
          </w:tcPr>
          <w:p w14:paraId="50795D6F">
            <w:pPr>
              <w:widowControl/>
              <w:snapToGrid w:val="0"/>
              <w:spacing w:before="156" w:beforeLines="50" w:line="360" w:lineRule="auto"/>
              <w:jc w:val="center"/>
              <w:rPr>
                <w:rFonts w:ascii="宋体" w:hAnsi="宋体"/>
                <w:color w:val="auto"/>
                <w:sz w:val="24"/>
                <w:highlight w:val="none"/>
              </w:rPr>
            </w:pPr>
            <w:r>
              <w:rPr>
                <w:rFonts w:ascii="宋体" w:hAnsi="宋体"/>
                <w:color w:val="auto"/>
                <w:sz w:val="24"/>
                <w:highlight w:val="none"/>
              </w:rPr>
              <w:t>个</w:t>
            </w:r>
          </w:p>
        </w:tc>
        <w:tc>
          <w:tcPr>
            <w:tcW w:w="993" w:type="dxa"/>
            <w:tcBorders>
              <w:top w:val="nil"/>
              <w:left w:val="nil"/>
              <w:bottom w:val="single" w:color="auto" w:sz="4" w:space="0"/>
              <w:right w:val="single" w:color="auto" w:sz="4" w:space="0"/>
            </w:tcBorders>
            <w:noWrap/>
            <w:vAlign w:val="center"/>
          </w:tcPr>
          <w:p w14:paraId="4E01B673">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1</w:t>
            </w:r>
          </w:p>
        </w:tc>
      </w:tr>
      <w:tr w14:paraId="3A57F7B8">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0639E291">
            <w:pPr>
              <w:widowControl/>
              <w:snapToGrid w:val="0"/>
              <w:spacing w:before="156" w:beforeLines="50" w:line="360" w:lineRule="auto"/>
              <w:jc w:val="center"/>
              <w:rPr>
                <w:rFonts w:ascii="宋体" w:hAnsi="宋体"/>
                <w:color w:val="auto"/>
                <w:sz w:val="24"/>
                <w:highlight w:val="none"/>
              </w:rPr>
            </w:pPr>
            <w:r>
              <w:rPr>
                <w:rFonts w:ascii="宋体" w:hAnsi="宋体"/>
                <w:color w:val="auto"/>
                <w:sz w:val="24"/>
                <w:highlight w:val="none"/>
              </w:rPr>
              <w:t>3</w:t>
            </w:r>
          </w:p>
        </w:tc>
        <w:tc>
          <w:tcPr>
            <w:tcW w:w="6095" w:type="dxa"/>
            <w:tcBorders>
              <w:top w:val="single" w:color="auto" w:sz="4" w:space="0"/>
              <w:left w:val="nil"/>
              <w:bottom w:val="single" w:color="auto" w:sz="4" w:space="0"/>
              <w:right w:val="single" w:color="auto" w:sz="4" w:space="0"/>
            </w:tcBorders>
            <w:noWrap/>
            <w:vAlign w:val="center"/>
          </w:tcPr>
          <w:p w14:paraId="1F78D8B2">
            <w:pPr>
              <w:widowControl/>
              <w:rPr>
                <w:rFonts w:hint="eastAsia" w:ascii="宋体" w:hAnsi="宋体"/>
                <w:color w:val="auto"/>
                <w:sz w:val="24"/>
                <w:highlight w:val="none"/>
              </w:rPr>
            </w:pPr>
            <w:r>
              <w:rPr>
                <w:rFonts w:hint="eastAsia" w:ascii="宋体" w:hAnsi="宋体"/>
                <w:color w:val="auto"/>
                <w:sz w:val="24"/>
                <w:highlight w:val="none"/>
              </w:rPr>
              <w:t>主沉积腔室</w:t>
            </w:r>
          </w:p>
        </w:tc>
        <w:tc>
          <w:tcPr>
            <w:tcW w:w="992" w:type="dxa"/>
            <w:tcBorders>
              <w:top w:val="single" w:color="auto" w:sz="4" w:space="0"/>
              <w:left w:val="nil"/>
              <w:bottom w:val="single" w:color="auto" w:sz="4" w:space="0"/>
              <w:right w:val="single" w:color="auto" w:sz="4" w:space="0"/>
            </w:tcBorders>
            <w:noWrap/>
            <w:vAlign w:val="center"/>
          </w:tcPr>
          <w:p w14:paraId="783A1F7C">
            <w:pPr>
              <w:widowControl/>
              <w:snapToGrid w:val="0"/>
              <w:spacing w:before="156" w:beforeLines="50" w:line="360" w:lineRule="auto"/>
              <w:jc w:val="center"/>
              <w:rPr>
                <w:rFonts w:ascii="宋体" w:hAnsi="宋体"/>
                <w:color w:val="auto"/>
                <w:sz w:val="24"/>
                <w:highlight w:val="none"/>
              </w:rPr>
            </w:pPr>
            <w:r>
              <w:rPr>
                <w:rFonts w:ascii="宋体" w:hAnsi="宋体"/>
                <w:color w:val="auto"/>
                <w:sz w:val="24"/>
                <w:highlight w:val="none"/>
              </w:rPr>
              <w:t>个</w:t>
            </w:r>
          </w:p>
        </w:tc>
        <w:tc>
          <w:tcPr>
            <w:tcW w:w="993" w:type="dxa"/>
            <w:tcBorders>
              <w:top w:val="single" w:color="auto" w:sz="4" w:space="0"/>
              <w:left w:val="nil"/>
              <w:bottom w:val="single" w:color="auto" w:sz="4" w:space="0"/>
              <w:right w:val="single" w:color="auto" w:sz="4" w:space="0"/>
            </w:tcBorders>
            <w:noWrap/>
            <w:vAlign w:val="center"/>
          </w:tcPr>
          <w:p w14:paraId="7190A354">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1</w:t>
            </w:r>
          </w:p>
        </w:tc>
      </w:tr>
      <w:tr w14:paraId="3B5B3108">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0B92B1B4">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4</w:t>
            </w:r>
          </w:p>
        </w:tc>
        <w:tc>
          <w:tcPr>
            <w:tcW w:w="6095" w:type="dxa"/>
            <w:tcBorders>
              <w:top w:val="single" w:color="auto" w:sz="4" w:space="0"/>
              <w:left w:val="nil"/>
              <w:bottom w:val="single" w:color="auto" w:sz="4" w:space="0"/>
              <w:right w:val="single" w:color="auto" w:sz="4" w:space="0"/>
            </w:tcBorders>
            <w:noWrap/>
            <w:vAlign w:val="center"/>
          </w:tcPr>
          <w:p w14:paraId="3FDD3C9F">
            <w:pPr>
              <w:widowControl/>
              <w:rPr>
                <w:rFonts w:hint="eastAsia" w:ascii="宋体" w:hAnsi="宋体"/>
                <w:color w:val="auto"/>
                <w:sz w:val="24"/>
                <w:highlight w:val="none"/>
              </w:rPr>
            </w:pPr>
            <w:r>
              <w:rPr>
                <w:rFonts w:hint="eastAsia" w:ascii="宋体" w:hAnsi="宋体"/>
                <w:color w:val="auto"/>
                <w:sz w:val="24"/>
                <w:highlight w:val="none"/>
              </w:rPr>
              <w:t>罗茨泵</w:t>
            </w:r>
          </w:p>
        </w:tc>
        <w:tc>
          <w:tcPr>
            <w:tcW w:w="992" w:type="dxa"/>
            <w:tcBorders>
              <w:top w:val="single" w:color="auto" w:sz="4" w:space="0"/>
              <w:left w:val="nil"/>
              <w:bottom w:val="single" w:color="auto" w:sz="4" w:space="0"/>
              <w:right w:val="single" w:color="auto" w:sz="4" w:space="0"/>
            </w:tcBorders>
            <w:noWrap/>
            <w:vAlign w:val="center"/>
          </w:tcPr>
          <w:p w14:paraId="290BC555">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个</w:t>
            </w:r>
          </w:p>
        </w:tc>
        <w:tc>
          <w:tcPr>
            <w:tcW w:w="993" w:type="dxa"/>
            <w:tcBorders>
              <w:top w:val="single" w:color="auto" w:sz="4" w:space="0"/>
              <w:left w:val="nil"/>
              <w:bottom w:val="single" w:color="auto" w:sz="4" w:space="0"/>
              <w:right w:val="single" w:color="auto" w:sz="4" w:space="0"/>
            </w:tcBorders>
            <w:noWrap/>
            <w:vAlign w:val="center"/>
          </w:tcPr>
          <w:p w14:paraId="131D3297">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1</w:t>
            </w:r>
          </w:p>
        </w:tc>
      </w:tr>
      <w:tr w14:paraId="17F856A7">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69A15A4B">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5</w:t>
            </w:r>
          </w:p>
        </w:tc>
        <w:tc>
          <w:tcPr>
            <w:tcW w:w="6095" w:type="dxa"/>
            <w:tcBorders>
              <w:top w:val="single" w:color="auto" w:sz="4" w:space="0"/>
              <w:left w:val="nil"/>
              <w:bottom w:val="single" w:color="auto" w:sz="4" w:space="0"/>
              <w:right w:val="single" w:color="auto" w:sz="4" w:space="0"/>
            </w:tcBorders>
            <w:noWrap/>
            <w:vAlign w:val="center"/>
          </w:tcPr>
          <w:p w14:paraId="75D908E2">
            <w:pPr>
              <w:widowControl/>
              <w:rPr>
                <w:rFonts w:hint="eastAsia" w:ascii="宋体" w:hAnsi="宋体"/>
                <w:color w:val="auto"/>
                <w:sz w:val="24"/>
                <w:highlight w:val="none"/>
              </w:rPr>
            </w:pPr>
            <w:r>
              <w:rPr>
                <w:rFonts w:hint="eastAsia" w:ascii="宋体" w:hAnsi="宋体"/>
                <w:color w:val="auto"/>
                <w:sz w:val="24"/>
                <w:highlight w:val="none"/>
              </w:rPr>
              <w:t>低温泵</w:t>
            </w:r>
          </w:p>
        </w:tc>
        <w:tc>
          <w:tcPr>
            <w:tcW w:w="992" w:type="dxa"/>
            <w:tcBorders>
              <w:top w:val="single" w:color="auto" w:sz="4" w:space="0"/>
              <w:left w:val="nil"/>
              <w:bottom w:val="single" w:color="auto" w:sz="4" w:space="0"/>
              <w:right w:val="single" w:color="auto" w:sz="4" w:space="0"/>
            </w:tcBorders>
            <w:noWrap/>
            <w:vAlign w:val="center"/>
          </w:tcPr>
          <w:p w14:paraId="54843EDA">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个</w:t>
            </w:r>
          </w:p>
        </w:tc>
        <w:tc>
          <w:tcPr>
            <w:tcW w:w="993" w:type="dxa"/>
            <w:tcBorders>
              <w:top w:val="single" w:color="auto" w:sz="4" w:space="0"/>
              <w:left w:val="nil"/>
              <w:bottom w:val="single" w:color="auto" w:sz="4" w:space="0"/>
              <w:right w:val="single" w:color="auto" w:sz="4" w:space="0"/>
            </w:tcBorders>
            <w:noWrap/>
            <w:vAlign w:val="center"/>
          </w:tcPr>
          <w:p w14:paraId="696C5434">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1</w:t>
            </w:r>
          </w:p>
        </w:tc>
      </w:tr>
      <w:tr w14:paraId="4F9F6D1B">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406C1673">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6</w:t>
            </w:r>
          </w:p>
        </w:tc>
        <w:tc>
          <w:tcPr>
            <w:tcW w:w="6095" w:type="dxa"/>
            <w:tcBorders>
              <w:top w:val="single" w:color="auto" w:sz="4" w:space="0"/>
              <w:left w:val="nil"/>
              <w:bottom w:val="single" w:color="auto" w:sz="4" w:space="0"/>
              <w:right w:val="single" w:color="auto" w:sz="4" w:space="0"/>
            </w:tcBorders>
            <w:noWrap/>
            <w:vAlign w:val="center"/>
          </w:tcPr>
          <w:p w14:paraId="530DA30D">
            <w:pPr>
              <w:widowControl/>
              <w:rPr>
                <w:rFonts w:hint="eastAsia" w:ascii="宋体" w:hAnsi="宋体"/>
                <w:color w:val="auto"/>
                <w:sz w:val="24"/>
                <w:highlight w:val="none"/>
              </w:rPr>
            </w:pPr>
            <w:r>
              <w:rPr>
                <w:rFonts w:hint="eastAsia" w:ascii="宋体" w:hAnsi="宋体"/>
                <w:color w:val="auto"/>
                <w:sz w:val="24"/>
                <w:highlight w:val="none"/>
              </w:rPr>
              <w:t>射频离子源，离子束溅射用</w:t>
            </w:r>
          </w:p>
        </w:tc>
        <w:tc>
          <w:tcPr>
            <w:tcW w:w="992" w:type="dxa"/>
            <w:tcBorders>
              <w:top w:val="single" w:color="auto" w:sz="4" w:space="0"/>
              <w:left w:val="nil"/>
              <w:bottom w:val="single" w:color="auto" w:sz="4" w:space="0"/>
              <w:right w:val="single" w:color="auto" w:sz="4" w:space="0"/>
            </w:tcBorders>
            <w:noWrap/>
            <w:vAlign w:val="center"/>
          </w:tcPr>
          <w:p w14:paraId="68F5B3CE">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个</w:t>
            </w:r>
          </w:p>
        </w:tc>
        <w:tc>
          <w:tcPr>
            <w:tcW w:w="993" w:type="dxa"/>
            <w:tcBorders>
              <w:top w:val="single" w:color="auto" w:sz="4" w:space="0"/>
              <w:left w:val="nil"/>
              <w:bottom w:val="single" w:color="auto" w:sz="4" w:space="0"/>
              <w:right w:val="single" w:color="auto" w:sz="4" w:space="0"/>
            </w:tcBorders>
            <w:noWrap/>
            <w:vAlign w:val="center"/>
          </w:tcPr>
          <w:p w14:paraId="083F69E1">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1</w:t>
            </w:r>
          </w:p>
        </w:tc>
      </w:tr>
      <w:tr w14:paraId="0945D6E3">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0B752D74">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7</w:t>
            </w:r>
          </w:p>
        </w:tc>
        <w:tc>
          <w:tcPr>
            <w:tcW w:w="6095" w:type="dxa"/>
            <w:tcBorders>
              <w:top w:val="single" w:color="auto" w:sz="4" w:space="0"/>
              <w:left w:val="nil"/>
              <w:bottom w:val="single" w:color="auto" w:sz="4" w:space="0"/>
              <w:right w:val="single" w:color="auto" w:sz="4" w:space="0"/>
            </w:tcBorders>
            <w:noWrap/>
            <w:vAlign w:val="center"/>
          </w:tcPr>
          <w:p w14:paraId="176324F3">
            <w:pPr>
              <w:widowControl/>
              <w:rPr>
                <w:rFonts w:hint="eastAsia" w:ascii="宋体" w:hAnsi="宋体"/>
                <w:color w:val="auto"/>
                <w:sz w:val="24"/>
                <w:highlight w:val="none"/>
              </w:rPr>
            </w:pPr>
            <w:r>
              <w:rPr>
                <w:rFonts w:hint="eastAsia" w:ascii="宋体" w:hAnsi="宋体"/>
                <w:color w:val="auto"/>
                <w:sz w:val="24"/>
                <w:highlight w:val="none"/>
              </w:rPr>
              <w:t>射频离子源，离子束辅助</w:t>
            </w:r>
          </w:p>
        </w:tc>
        <w:tc>
          <w:tcPr>
            <w:tcW w:w="992" w:type="dxa"/>
            <w:tcBorders>
              <w:top w:val="single" w:color="auto" w:sz="4" w:space="0"/>
              <w:left w:val="nil"/>
              <w:bottom w:val="single" w:color="auto" w:sz="4" w:space="0"/>
              <w:right w:val="single" w:color="auto" w:sz="4" w:space="0"/>
            </w:tcBorders>
            <w:noWrap/>
            <w:vAlign w:val="center"/>
          </w:tcPr>
          <w:p w14:paraId="3F420905">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个</w:t>
            </w:r>
          </w:p>
        </w:tc>
        <w:tc>
          <w:tcPr>
            <w:tcW w:w="993" w:type="dxa"/>
            <w:tcBorders>
              <w:top w:val="single" w:color="auto" w:sz="4" w:space="0"/>
              <w:left w:val="nil"/>
              <w:bottom w:val="single" w:color="auto" w:sz="4" w:space="0"/>
              <w:right w:val="single" w:color="auto" w:sz="4" w:space="0"/>
            </w:tcBorders>
            <w:noWrap/>
            <w:vAlign w:val="center"/>
          </w:tcPr>
          <w:p w14:paraId="5658E9CE">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1</w:t>
            </w:r>
          </w:p>
        </w:tc>
      </w:tr>
      <w:tr w14:paraId="7ED8F5C8">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75FD0DEB">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8</w:t>
            </w:r>
          </w:p>
        </w:tc>
        <w:tc>
          <w:tcPr>
            <w:tcW w:w="6095" w:type="dxa"/>
            <w:tcBorders>
              <w:top w:val="single" w:color="auto" w:sz="4" w:space="0"/>
              <w:left w:val="nil"/>
              <w:bottom w:val="single" w:color="auto" w:sz="4" w:space="0"/>
              <w:right w:val="single" w:color="auto" w:sz="4" w:space="0"/>
            </w:tcBorders>
            <w:noWrap/>
            <w:vAlign w:val="center"/>
          </w:tcPr>
          <w:p w14:paraId="5781C891">
            <w:pPr>
              <w:widowControl/>
              <w:rPr>
                <w:rFonts w:hint="eastAsia" w:ascii="宋体" w:hAnsi="宋体"/>
                <w:color w:val="auto"/>
                <w:sz w:val="24"/>
                <w:highlight w:val="none"/>
              </w:rPr>
            </w:pPr>
            <w:r>
              <w:rPr>
                <w:rFonts w:hint="eastAsia" w:ascii="宋体" w:hAnsi="宋体"/>
                <w:color w:val="auto"/>
                <w:sz w:val="24"/>
                <w:highlight w:val="none"/>
              </w:rPr>
              <w:t>RHEED腔室</w:t>
            </w:r>
          </w:p>
        </w:tc>
        <w:tc>
          <w:tcPr>
            <w:tcW w:w="992" w:type="dxa"/>
            <w:tcBorders>
              <w:top w:val="single" w:color="auto" w:sz="4" w:space="0"/>
              <w:left w:val="nil"/>
              <w:bottom w:val="single" w:color="auto" w:sz="4" w:space="0"/>
              <w:right w:val="single" w:color="auto" w:sz="4" w:space="0"/>
            </w:tcBorders>
            <w:noWrap/>
            <w:vAlign w:val="center"/>
          </w:tcPr>
          <w:p w14:paraId="35605003">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个</w:t>
            </w:r>
          </w:p>
        </w:tc>
        <w:tc>
          <w:tcPr>
            <w:tcW w:w="993" w:type="dxa"/>
            <w:tcBorders>
              <w:top w:val="single" w:color="auto" w:sz="4" w:space="0"/>
              <w:left w:val="nil"/>
              <w:bottom w:val="single" w:color="auto" w:sz="4" w:space="0"/>
              <w:right w:val="single" w:color="auto" w:sz="4" w:space="0"/>
            </w:tcBorders>
            <w:noWrap/>
            <w:vAlign w:val="center"/>
          </w:tcPr>
          <w:p w14:paraId="4F4F45C9">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1</w:t>
            </w:r>
          </w:p>
        </w:tc>
      </w:tr>
      <w:tr w14:paraId="661E6F12">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1F594B9A">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9</w:t>
            </w:r>
          </w:p>
        </w:tc>
        <w:tc>
          <w:tcPr>
            <w:tcW w:w="6095" w:type="dxa"/>
            <w:tcBorders>
              <w:top w:val="single" w:color="auto" w:sz="4" w:space="0"/>
              <w:left w:val="nil"/>
              <w:bottom w:val="single" w:color="auto" w:sz="4" w:space="0"/>
              <w:right w:val="single" w:color="auto" w:sz="4" w:space="0"/>
            </w:tcBorders>
            <w:noWrap/>
            <w:vAlign w:val="center"/>
          </w:tcPr>
          <w:p w14:paraId="08DCC111">
            <w:pPr>
              <w:widowControl/>
              <w:rPr>
                <w:rFonts w:hint="eastAsia" w:ascii="宋体" w:hAnsi="宋体"/>
                <w:color w:val="auto"/>
                <w:sz w:val="24"/>
                <w:highlight w:val="none"/>
              </w:rPr>
            </w:pPr>
            <w:r>
              <w:rPr>
                <w:rFonts w:hint="eastAsia" w:ascii="宋体" w:hAnsi="宋体"/>
                <w:color w:val="auto"/>
                <w:sz w:val="24"/>
                <w:highlight w:val="none"/>
              </w:rPr>
              <w:t>2号收卷室</w:t>
            </w:r>
          </w:p>
        </w:tc>
        <w:tc>
          <w:tcPr>
            <w:tcW w:w="992" w:type="dxa"/>
            <w:tcBorders>
              <w:top w:val="nil"/>
              <w:left w:val="nil"/>
              <w:bottom w:val="nil"/>
              <w:right w:val="single" w:color="auto" w:sz="4" w:space="0"/>
            </w:tcBorders>
            <w:noWrap/>
            <w:vAlign w:val="center"/>
          </w:tcPr>
          <w:p w14:paraId="30D9D136">
            <w:pPr>
              <w:widowControl/>
              <w:snapToGrid w:val="0"/>
              <w:spacing w:before="156" w:beforeLines="50" w:line="360" w:lineRule="auto"/>
              <w:jc w:val="center"/>
              <w:rPr>
                <w:rFonts w:hint="eastAsia" w:ascii="宋体" w:hAnsi="宋体"/>
                <w:color w:val="auto"/>
                <w:sz w:val="24"/>
                <w:highlight w:val="none"/>
              </w:rPr>
            </w:pPr>
            <w:r>
              <w:rPr>
                <w:rFonts w:ascii="宋体" w:hAnsi="宋体"/>
                <w:color w:val="auto"/>
                <w:sz w:val="24"/>
                <w:highlight w:val="none"/>
              </w:rPr>
              <w:t>个</w:t>
            </w:r>
          </w:p>
        </w:tc>
        <w:tc>
          <w:tcPr>
            <w:tcW w:w="993" w:type="dxa"/>
            <w:tcBorders>
              <w:top w:val="nil"/>
              <w:left w:val="nil"/>
              <w:bottom w:val="nil"/>
              <w:right w:val="single" w:color="auto" w:sz="4" w:space="0"/>
            </w:tcBorders>
            <w:noWrap/>
            <w:vAlign w:val="center"/>
          </w:tcPr>
          <w:p w14:paraId="5031D6FC">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1</w:t>
            </w:r>
          </w:p>
        </w:tc>
      </w:tr>
      <w:tr w14:paraId="5F2EEC33">
        <w:tblPrEx>
          <w:tblCellMar>
            <w:top w:w="0" w:type="dxa"/>
            <w:left w:w="108" w:type="dxa"/>
            <w:bottom w:w="0" w:type="dxa"/>
            <w:right w:w="108" w:type="dxa"/>
          </w:tblCellMar>
        </w:tblPrEx>
        <w:trPr>
          <w:trHeight w:val="28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2D1ED4B0">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10</w:t>
            </w:r>
          </w:p>
        </w:tc>
        <w:tc>
          <w:tcPr>
            <w:tcW w:w="6095" w:type="dxa"/>
            <w:tcBorders>
              <w:top w:val="single" w:color="auto" w:sz="4" w:space="0"/>
              <w:left w:val="nil"/>
              <w:bottom w:val="single" w:color="auto" w:sz="4" w:space="0"/>
              <w:right w:val="single" w:color="auto" w:sz="4" w:space="0"/>
            </w:tcBorders>
            <w:noWrap/>
            <w:vAlign w:val="center"/>
          </w:tcPr>
          <w:p w14:paraId="19BEE501">
            <w:pPr>
              <w:widowControl/>
              <w:rPr>
                <w:rFonts w:hint="eastAsia" w:ascii="宋体" w:hAnsi="宋体"/>
                <w:color w:val="auto"/>
                <w:sz w:val="24"/>
                <w:highlight w:val="none"/>
              </w:rPr>
            </w:pPr>
            <w:r>
              <w:rPr>
                <w:rFonts w:hint="eastAsia" w:ascii="宋体" w:hAnsi="宋体"/>
                <w:color w:val="auto"/>
                <w:sz w:val="24"/>
                <w:highlight w:val="none"/>
              </w:rPr>
              <w:t>工作站控制系统</w:t>
            </w:r>
          </w:p>
        </w:tc>
        <w:tc>
          <w:tcPr>
            <w:tcW w:w="992" w:type="dxa"/>
            <w:tcBorders>
              <w:top w:val="single" w:color="auto" w:sz="4" w:space="0"/>
              <w:left w:val="nil"/>
              <w:bottom w:val="single" w:color="auto" w:sz="4" w:space="0"/>
              <w:right w:val="single" w:color="auto" w:sz="4" w:space="0"/>
            </w:tcBorders>
            <w:noWrap/>
            <w:vAlign w:val="center"/>
          </w:tcPr>
          <w:p w14:paraId="4FE849D0">
            <w:pPr>
              <w:widowControl/>
              <w:snapToGrid w:val="0"/>
              <w:spacing w:before="156" w:beforeLines="50" w:line="360" w:lineRule="auto"/>
              <w:jc w:val="center"/>
              <w:rPr>
                <w:rFonts w:ascii="宋体" w:hAnsi="宋体"/>
                <w:color w:val="auto"/>
                <w:sz w:val="24"/>
                <w:highlight w:val="none"/>
              </w:rPr>
            </w:pPr>
            <w:r>
              <w:rPr>
                <w:rFonts w:hint="eastAsia" w:ascii="宋体" w:hAnsi="宋体"/>
                <w:color w:val="auto"/>
                <w:sz w:val="24"/>
                <w:highlight w:val="none"/>
              </w:rPr>
              <w:t>个</w:t>
            </w:r>
          </w:p>
        </w:tc>
        <w:tc>
          <w:tcPr>
            <w:tcW w:w="993" w:type="dxa"/>
            <w:tcBorders>
              <w:top w:val="single" w:color="auto" w:sz="4" w:space="0"/>
              <w:left w:val="nil"/>
              <w:bottom w:val="single" w:color="auto" w:sz="4" w:space="0"/>
              <w:right w:val="single" w:color="auto" w:sz="4" w:space="0"/>
            </w:tcBorders>
            <w:noWrap/>
            <w:vAlign w:val="center"/>
          </w:tcPr>
          <w:p w14:paraId="6FD49EFE">
            <w:pPr>
              <w:widowControl/>
              <w:snapToGrid w:val="0"/>
              <w:spacing w:before="156" w:beforeLines="50" w:line="360" w:lineRule="auto"/>
              <w:jc w:val="center"/>
              <w:rPr>
                <w:rFonts w:hint="eastAsia" w:ascii="宋体" w:hAnsi="宋体"/>
                <w:color w:val="auto"/>
                <w:sz w:val="24"/>
                <w:highlight w:val="none"/>
              </w:rPr>
            </w:pPr>
            <w:r>
              <w:rPr>
                <w:rFonts w:hint="eastAsia" w:ascii="宋体" w:hAnsi="宋体"/>
                <w:color w:val="auto"/>
                <w:sz w:val="24"/>
                <w:highlight w:val="none"/>
              </w:rPr>
              <w:t>1</w:t>
            </w:r>
          </w:p>
        </w:tc>
      </w:tr>
    </w:tbl>
    <w:p w14:paraId="0B10E54D">
      <w:pPr>
        <w:pStyle w:val="3"/>
        <w:rPr>
          <w:rFonts w:hint="eastAsia"/>
          <w:color w:val="auto"/>
          <w:highlight w:val="none"/>
        </w:rPr>
      </w:pPr>
    </w:p>
    <w:p w14:paraId="1BBC6BEF">
      <w:pPr>
        <w:pStyle w:val="3"/>
        <w:rPr>
          <w:color w:val="auto"/>
          <w:highlight w:val="none"/>
        </w:rPr>
      </w:pPr>
    </w:p>
    <w:p w14:paraId="25AF0FCF">
      <w:pPr>
        <w:pStyle w:val="3"/>
        <w:rPr>
          <w:color w:val="auto"/>
          <w:highlight w:val="none"/>
        </w:rPr>
      </w:pPr>
    </w:p>
    <w:p w14:paraId="178D2B82">
      <w:pPr>
        <w:pStyle w:val="3"/>
        <w:rPr>
          <w:rFonts w:hint="eastAsia"/>
          <w:color w:val="auto"/>
          <w:highlight w:val="none"/>
        </w:rPr>
      </w:pPr>
    </w:p>
    <w:p w14:paraId="38CF6C74">
      <w:pPr>
        <w:widowControl/>
        <w:snapToGrid w:val="0"/>
        <w:spacing w:line="360" w:lineRule="auto"/>
        <w:jc w:val="left"/>
        <w:rPr>
          <w:b/>
          <w:color w:val="auto"/>
          <w:sz w:val="30"/>
          <w:szCs w:val="30"/>
          <w:highlight w:val="none"/>
        </w:rPr>
      </w:pPr>
      <w:r>
        <w:rPr>
          <w:b/>
          <w:color w:val="auto"/>
          <w:sz w:val="30"/>
          <w:szCs w:val="30"/>
          <w:highlight w:val="none"/>
        </w:rPr>
        <w:t>（二）商务要求：</w:t>
      </w:r>
    </w:p>
    <w:p w14:paraId="205CA27D">
      <w:pPr>
        <w:widowControl/>
        <w:snapToGrid w:val="0"/>
        <w:spacing w:before="156" w:beforeLines="50" w:line="360" w:lineRule="auto"/>
        <w:rPr>
          <w:rFonts w:ascii="宋体" w:hAnsi="宋体"/>
          <w:b/>
          <w:color w:val="auto"/>
          <w:sz w:val="24"/>
          <w:highlight w:val="none"/>
        </w:rPr>
      </w:pPr>
      <w:r>
        <w:rPr>
          <w:rFonts w:hint="eastAsia" w:ascii="宋体" w:hAnsi="宋体"/>
          <w:b/>
          <w:color w:val="auto"/>
          <w:sz w:val="24"/>
          <w:highlight w:val="none"/>
        </w:rPr>
        <w:t>1、</w:t>
      </w:r>
      <w:r>
        <w:rPr>
          <w:rFonts w:ascii="宋体" w:hAnsi="宋体"/>
          <w:b/>
          <w:color w:val="auto"/>
          <w:sz w:val="24"/>
          <w:highlight w:val="none"/>
        </w:rPr>
        <w:t>技术服务条款：</w:t>
      </w:r>
    </w:p>
    <w:p w14:paraId="51F8F6C6">
      <w:pPr>
        <w:widowControl/>
        <w:spacing w:line="360" w:lineRule="auto"/>
        <w:rPr>
          <w:rFonts w:ascii="宋体" w:hAnsi="宋体"/>
          <w:b/>
          <w:bCs/>
          <w:color w:val="auto"/>
          <w:sz w:val="24"/>
          <w:highlight w:val="none"/>
        </w:rPr>
      </w:pPr>
      <w:r>
        <w:rPr>
          <w:rFonts w:ascii="宋体" w:hAnsi="宋体"/>
          <w:b/>
          <w:bCs/>
          <w:color w:val="auto"/>
          <w:sz w:val="24"/>
          <w:highlight w:val="none"/>
        </w:rPr>
        <w:t>售后服务要求：</w:t>
      </w:r>
    </w:p>
    <w:p w14:paraId="110DAEF5">
      <w:pPr>
        <w:widowControl/>
        <w:tabs>
          <w:tab w:val="left" w:pos="0"/>
        </w:tabs>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免费提供技术工程师上门安装、调试及现场培训，培训涉及</w:t>
      </w:r>
      <w:r>
        <w:rPr>
          <w:rFonts w:hint="eastAsia" w:ascii="宋体" w:hAnsi="宋体"/>
          <w:color w:val="auto"/>
          <w:sz w:val="24"/>
          <w:highlight w:val="none"/>
        </w:rPr>
        <w:t>货物</w:t>
      </w:r>
      <w:r>
        <w:rPr>
          <w:rFonts w:ascii="宋体" w:hAnsi="宋体"/>
          <w:color w:val="auto"/>
          <w:sz w:val="24"/>
          <w:highlight w:val="none"/>
        </w:rPr>
        <w:t>使用的各个方面：系统操作，机器维护等，根据客户的特殊需要，可以个性化定制课程内容，确保用户能熟练掌握货物使用、数据分析及日常维护保养。</w:t>
      </w:r>
      <w:r>
        <w:rPr>
          <w:rFonts w:hint="eastAsia" w:ascii="宋体" w:hAnsi="宋体"/>
          <w:color w:val="auto"/>
          <w:sz w:val="24"/>
          <w:highlight w:val="none"/>
        </w:rPr>
        <w:t>供应商</w:t>
      </w:r>
      <w:r>
        <w:rPr>
          <w:rFonts w:ascii="宋体" w:hAnsi="宋体"/>
          <w:color w:val="auto"/>
          <w:sz w:val="24"/>
          <w:highlight w:val="none"/>
        </w:rPr>
        <w:t>售后服务响应时间：提供24小时专线技术咨询服务，若电话咨询无法解决故障，则5个工作日内现场解决，重特大故障二周内现场解决。</w:t>
      </w:r>
    </w:p>
    <w:p w14:paraId="5C23DD79">
      <w:pPr>
        <w:widowControl/>
        <w:tabs>
          <w:tab w:val="left" w:pos="0"/>
        </w:tabs>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2）供应商</w:t>
      </w:r>
      <w:r>
        <w:rPr>
          <w:rFonts w:ascii="宋体" w:hAnsi="宋体"/>
          <w:color w:val="auto"/>
          <w:sz w:val="24"/>
          <w:highlight w:val="none"/>
        </w:rPr>
        <w:t>免费提供技术支持热线电话。</w:t>
      </w:r>
    </w:p>
    <w:p w14:paraId="5BE4C3AF">
      <w:pPr>
        <w:widowControl/>
        <w:tabs>
          <w:tab w:val="left" w:pos="0"/>
        </w:tabs>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rPr>
        <w:tab/>
      </w:r>
      <w:r>
        <w:rPr>
          <w:rFonts w:hint="eastAsia" w:ascii="宋体" w:hAnsi="宋体"/>
          <w:color w:val="auto"/>
          <w:sz w:val="24"/>
          <w:highlight w:val="none"/>
        </w:rPr>
        <w:t>提供货物一年免费保修服务（保修期内免备件费和人工费）。质保期内正常使用中出现的何故障，均可保证负责无偿调试及维修，所更换的部件可享受顺延保修期优惠，质保期后可享受优惠价格的零配件供应。</w:t>
      </w:r>
    </w:p>
    <w:p w14:paraId="22F7A83C">
      <w:pPr>
        <w:widowControl/>
        <w:tabs>
          <w:tab w:val="left" w:pos="0"/>
        </w:tabs>
        <w:spacing w:line="360" w:lineRule="auto"/>
        <w:jc w:val="left"/>
        <w:rPr>
          <w:rFonts w:ascii="宋体" w:hAnsi="宋体"/>
          <w:color w:val="auto"/>
          <w:sz w:val="24"/>
          <w:highlight w:val="none"/>
        </w:rPr>
      </w:pPr>
      <w:r>
        <w:rPr>
          <w:rFonts w:ascii="宋体" w:hAnsi="宋体"/>
          <w:b/>
          <w:color w:val="auto"/>
          <w:sz w:val="24"/>
          <w:highlight w:val="none"/>
        </w:rPr>
        <w:t>培训要求：</w:t>
      </w:r>
    </w:p>
    <w:p w14:paraId="2B4F4BC2">
      <w:pPr>
        <w:widowControl/>
        <w:spacing w:line="360" w:lineRule="auto"/>
        <w:ind w:firstLine="480" w:firstLineChars="200"/>
        <w:rPr>
          <w:rFonts w:ascii="宋体" w:hAnsi="宋体"/>
          <w:color w:val="auto"/>
          <w:sz w:val="24"/>
          <w:highlight w:val="none"/>
        </w:rPr>
      </w:pPr>
      <w:r>
        <w:rPr>
          <w:rFonts w:ascii="宋体" w:hAnsi="宋体"/>
          <w:color w:val="auto"/>
          <w:sz w:val="24"/>
          <w:highlight w:val="none"/>
        </w:rPr>
        <w:t>免费提供技术工程师上门安装、调试及现场培训，培训涉及机器使用的各个方面：系统操作，机器维护等，根据客户的特殊需要，可以个性化定制课程内容，确保用户能熟练掌握货物使用、数据分析及日常维护保养。</w:t>
      </w:r>
    </w:p>
    <w:p w14:paraId="26D8E28A">
      <w:pPr>
        <w:widowControl/>
        <w:spacing w:before="156" w:beforeLines="50" w:line="360" w:lineRule="auto"/>
        <w:rPr>
          <w:rFonts w:ascii="宋体" w:hAnsi="宋体"/>
          <w:b/>
          <w:color w:val="auto"/>
          <w:sz w:val="24"/>
          <w:highlight w:val="none"/>
        </w:rPr>
      </w:pPr>
      <w:r>
        <w:rPr>
          <w:rFonts w:hint="eastAsia" w:ascii="宋体" w:hAnsi="宋体"/>
          <w:b/>
          <w:color w:val="auto"/>
          <w:sz w:val="24"/>
          <w:highlight w:val="none"/>
        </w:rPr>
        <w:t>2、</w:t>
      </w:r>
      <w:r>
        <w:rPr>
          <w:rFonts w:ascii="宋体" w:hAnsi="宋体"/>
          <w:b/>
          <w:color w:val="auto"/>
          <w:sz w:val="24"/>
          <w:highlight w:val="none"/>
        </w:rPr>
        <w:t>包装要求：</w:t>
      </w:r>
    </w:p>
    <w:p w14:paraId="67807998">
      <w:pPr>
        <w:widowControl/>
        <w:spacing w:line="360" w:lineRule="auto"/>
        <w:ind w:firstLine="480" w:firstLineChars="200"/>
        <w:rPr>
          <w:rFonts w:ascii="宋体" w:hAnsi="宋体"/>
          <w:color w:val="auto"/>
          <w:sz w:val="24"/>
          <w:highlight w:val="none"/>
        </w:rPr>
      </w:pPr>
      <w:r>
        <w:rPr>
          <w:rFonts w:ascii="宋体" w:hAnsi="宋体"/>
          <w:color w:val="auto"/>
          <w:sz w:val="24"/>
          <w:highlight w:val="none"/>
        </w:rPr>
        <w:t>应使用崭新坚固的包装（标准包装），适合于空运、或陆运等长途运输方式；适合气候变化；投标商应对任何由于不当包装或防护措施不利而导致的商品损坏、损失、费用增长等后果负责。</w:t>
      </w:r>
    </w:p>
    <w:p w14:paraId="2A9AB250">
      <w:pPr>
        <w:pStyle w:val="3"/>
        <w:rPr>
          <w:color w:val="auto"/>
          <w:highlight w:val="none"/>
        </w:rPr>
      </w:pPr>
    </w:p>
    <w:p w14:paraId="32460261">
      <w:pPr>
        <w:widowControl/>
        <w:snapToGrid w:val="0"/>
        <w:spacing w:before="156" w:beforeLines="50" w:line="360" w:lineRule="auto"/>
        <w:rPr>
          <w:rFonts w:hint="eastAsia" w:ascii="宋体" w:hAnsi="宋体"/>
          <w:b/>
          <w:color w:val="auto"/>
          <w:sz w:val="24"/>
          <w:highlight w:val="none"/>
        </w:rPr>
      </w:pPr>
      <w:r>
        <w:rPr>
          <w:rFonts w:hint="eastAsia" w:ascii="宋体" w:hAnsi="宋体"/>
          <w:b/>
          <w:color w:val="auto"/>
          <w:sz w:val="24"/>
          <w:highlight w:val="none"/>
        </w:rPr>
        <w:t>3、</w:t>
      </w:r>
      <w:r>
        <w:rPr>
          <w:rFonts w:ascii="宋体" w:hAnsi="宋体"/>
          <w:b/>
          <w:color w:val="auto"/>
          <w:sz w:val="24"/>
          <w:highlight w:val="none"/>
        </w:rPr>
        <w:t>交货日期：</w:t>
      </w:r>
      <w:r>
        <w:rPr>
          <w:rFonts w:hint="eastAsia" w:ascii="宋体" w:hAnsi="宋体"/>
          <w:color w:val="auto"/>
          <w:sz w:val="24"/>
          <w:szCs w:val="32"/>
          <w:highlight w:val="none"/>
        </w:rPr>
        <w:t>合同签订后的15个月内交货；</w:t>
      </w:r>
    </w:p>
    <w:p w14:paraId="767FFB4E">
      <w:pPr>
        <w:pStyle w:val="3"/>
        <w:rPr>
          <w:rFonts w:hint="eastAsia"/>
          <w:color w:val="auto"/>
          <w:highlight w:val="none"/>
        </w:rPr>
      </w:pPr>
    </w:p>
    <w:p w14:paraId="2CF56230">
      <w:pPr>
        <w:widowControl/>
        <w:snapToGrid w:val="0"/>
        <w:spacing w:before="156" w:beforeLines="50" w:line="360" w:lineRule="auto"/>
        <w:rPr>
          <w:rFonts w:ascii="宋体" w:hAnsi="宋体"/>
          <w:b/>
          <w:color w:val="auto"/>
          <w:sz w:val="24"/>
          <w:highlight w:val="none"/>
        </w:rPr>
      </w:pPr>
      <w:r>
        <w:rPr>
          <w:rFonts w:hint="eastAsia" w:ascii="宋体" w:hAnsi="宋体"/>
          <w:b/>
          <w:color w:val="auto"/>
          <w:sz w:val="24"/>
          <w:highlight w:val="none"/>
        </w:rPr>
        <w:t>4、到货口岸及交货地点</w:t>
      </w:r>
      <w:r>
        <w:rPr>
          <w:rFonts w:ascii="宋体" w:hAnsi="宋体"/>
          <w:b/>
          <w:color w:val="auto"/>
          <w:sz w:val="24"/>
          <w:highlight w:val="none"/>
        </w:rPr>
        <w:t>：</w:t>
      </w:r>
    </w:p>
    <w:p w14:paraId="7EC5332B">
      <w:pPr>
        <w:widowControl/>
        <w:spacing w:line="360" w:lineRule="auto"/>
        <w:ind w:firstLine="361" w:firstLineChars="150"/>
        <w:rPr>
          <w:rFonts w:ascii="宋体" w:hAnsi="宋体"/>
          <w:bCs/>
          <w:color w:val="auto"/>
          <w:sz w:val="24"/>
          <w:highlight w:val="none"/>
        </w:rPr>
      </w:pPr>
      <w:r>
        <w:rPr>
          <w:rFonts w:hint="eastAsia" w:ascii="宋体" w:hAnsi="宋体"/>
          <w:b/>
          <w:color w:val="auto"/>
          <w:sz w:val="24"/>
          <w:highlight w:val="none"/>
        </w:rPr>
        <w:t>到货口岸：</w:t>
      </w:r>
      <w:r>
        <w:rPr>
          <w:rFonts w:hint="eastAsia" w:ascii="宋体" w:hAnsi="宋体"/>
          <w:bCs/>
          <w:color w:val="auto"/>
          <w:sz w:val="24"/>
          <w:highlight w:val="none"/>
        </w:rPr>
        <w:t>北京机场</w:t>
      </w:r>
    </w:p>
    <w:p w14:paraId="67B1FD32">
      <w:pPr>
        <w:widowControl/>
        <w:spacing w:line="360" w:lineRule="auto"/>
        <w:ind w:firstLine="361" w:firstLineChars="150"/>
        <w:rPr>
          <w:rFonts w:ascii="宋体" w:hAnsi="宋体"/>
          <w:bCs/>
          <w:color w:val="auto"/>
          <w:sz w:val="24"/>
          <w:highlight w:val="none"/>
        </w:rPr>
      </w:pPr>
      <w:r>
        <w:rPr>
          <w:rFonts w:hint="eastAsia" w:ascii="宋体" w:hAnsi="宋体"/>
          <w:b/>
          <w:color w:val="auto"/>
          <w:sz w:val="24"/>
          <w:highlight w:val="none"/>
        </w:rPr>
        <w:t>交货地点：</w:t>
      </w:r>
      <w:r>
        <w:rPr>
          <w:rFonts w:hint="eastAsia" w:ascii="宋体" w:hAnsi="宋体"/>
          <w:bCs/>
          <w:color w:val="auto"/>
          <w:sz w:val="24"/>
          <w:highlight w:val="none"/>
        </w:rPr>
        <w:t>中国科学院电工研究所用户指定地点</w:t>
      </w:r>
    </w:p>
    <w:p w14:paraId="1C9E6062">
      <w:pPr>
        <w:pStyle w:val="3"/>
        <w:rPr>
          <w:rFonts w:hint="eastAsia"/>
          <w:color w:val="auto"/>
          <w:highlight w:val="none"/>
        </w:rPr>
      </w:pPr>
    </w:p>
    <w:p w14:paraId="0B0C3AAB">
      <w:pPr>
        <w:widowControl/>
        <w:spacing w:line="360" w:lineRule="auto"/>
        <w:rPr>
          <w:rFonts w:ascii="宋体" w:hAnsi="宋体"/>
          <w:b/>
          <w:color w:val="auto"/>
          <w:sz w:val="24"/>
          <w:highlight w:val="none"/>
        </w:rPr>
      </w:pPr>
      <w:r>
        <w:rPr>
          <w:rFonts w:hint="eastAsia" w:ascii="宋体" w:hAnsi="宋体"/>
          <w:b/>
          <w:color w:val="auto"/>
          <w:sz w:val="24"/>
          <w:highlight w:val="none"/>
        </w:rPr>
        <w:t>5、</w:t>
      </w:r>
      <w:r>
        <w:rPr>
          <w:rFonts w:ascii="宋体" w:hAnsi="宋体"/>
          <w:b/>
          <w:color w:val="auto"/>
          <w:sz w:val="24"/>
          <w:highlight w:val="none"/>
        </w:rPr>
        <w:t>验收标准：</w:t>
      </w:r>
    </w:p>
    <w:p w14:paraId="5520B75B">
      <w:pPr>
        <w:widowControl/>
        <w:tabs>
          <w:tab w:val="left" w:pos="0"/>
        </w:tabs>
        <w:spacing w:line="360" w:lineRule="auto"/>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xml:space="preserve">仪器设备运抵安装现场后，采购人将与中标人共同开箱验收, 如中标人届时不派人来, 则验收结果应以采购人的验收报告为最终验收结果。验收时发现短缺、破损, 采购人有权要求中标人立即补发和负责更换。 </w:t>
      </w:r>
    </w:p>
    <w:p w14:paraId="5DFF79F4">
      <w:pPr>
        <w:widowControl/>
        <w:tabs>
          <w:tab w:val="left" w:pos="0"/>
        </w:tabs>
        <w:spacing w:line="360" w:lineRule="auto"/>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中标人应提出仪器设备测试的内容、项目、指标和方法</w:t>
      </w:r>
      <w:r>
        <w:rPr>
          <w:rFonts w:hint="eastAsia" w:ascii="宋体" w:hAnsi="宋体"/>
          <w:color w:val="auto"/>
          <w:sz w:val="24"/>
          <w:highlight w:val="none"/>
        </w:rPr>
        <w:t>给到采购人确认</w:t>
      </w:r>
      <w:r>
        <w:rPr>
          <w:rFonts w:ascii="宋体" w:hAnsi="宋体"/>
          <w:color w:val="auto"/>
          <w:sz w:val="24"/>
          <w:highlight w:val="none"/>
        </w:rPr>
        <w:t xml:space="preserve">,中标人有责任对采购人的技术人员提出的问题作出解答。测试应进行详细记录, 仪器设备测试结束后, 由中标人技术人员签字后交给采购人验收。 </w:t>
      </w:r>
    </w:p>
    <w:p w14:paraId="26C3BE70">
      <w:pPr>
        <w:widowControl/>
        <w:tabs>
          <w:tab w:val="left" w:pos="0"/>
        </w:tabs>
        <w:spacing w:line="360" w:lineRule="auto"/>
        <w:jc w:val="left"/>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1F7826F4">
      <w:pPr>
        <w:spacing w:line="360" w:lineRule="auto"/>
        <w:rPr>
          <w:rFonts w:ascii="宋体" w:hAnsi="宋体"/>
          <w:color w:val="auto"/>
          <w:sz w:val="24"/>
          <w:highlight w:val="none"/>
        </w:rPr>
      </w:pPr>
      <w:r>
        <w:rPr>
          <w:rFonts w:hint="eastAsia" w:ascii="宋体" w:hAnsi="宋体"/>
          <w:color w:val="auto"/>
          <w:sz w:val="24"/>
          <w:highlight w:val="none"/>
        </w:rPr>
        <w:t>4）验收标准以中标人提供的投标文件中所列的指标为准（该指标应不低于招标文件所要求的指标）。任何虚假指标响应一经发现即作废标，投标人必须承担由此给采购人带来的一切经济损失和其它相关责任。</w:t>
      </w:r>
    </w:p>
    <w:p w14:paraId="5EA39A20">
      <w:pPr>
        <w:spacing w:line="360" w:lineRule="auto"/>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ascii="宋体" w:hAnsi="宋体"/>
          <w:color w:val="auto"/>
          <w:sz w:val="24"/>
          <w:highlight w:val="none"/>
        </w:rPr>
        <w:t>验收由采购人、中标人及相关人员依国家有关标准、合同及有关附件要求进行，验收完毕由采购人及中标人在验收报告上签名。</w:t>
      </w:r>
    </w:p>
    <w:p w14:paraId="33198800">
      <w:pPr>
        <w:pStyle w:val="3"/>
        <w:rPr>
          <w:rFonts w:hint="eastAsia"/>
          <w:color w:val="auto"/>
          <w:highlight w:val="none"/>
        </w:rPr>
      </w:pPr>
    </w:p>
    <w:p w14:paraId="6B7AE656">
      <w:pPr>
        <w:widowControl/>
        <w:snapToGrid w:val="0"/>
        <w:spacing w:before="156" w:beforeLines="50" w:line="360" w:lineRule="auto"/>
        <w:rPr>
          <w:rFonts w:hint="eastAsia" w:ascii="宋体" w:hAnsi="宋体"/>
          <w:bCs/>
          <w:color w:val="auto"/>
          <w:sz w:val="24"/>
          <w:highlight w:val="none"/>
        </w:rPr>
      </w:pPr>
      <w:r>
        <w:rPr>
          <w:rFonts w:hint="eastAsia" w:ascii="宋体" w:hAnsi="宋体"/>
          <w:b/>
          <w:color w:val="auto"/>
          <w:sz w:val="24"/>
          <w:highlight w:val="none"/>
        </w:rPr>
        <w:t>6、执行的相关标准：</w:t>
      </w:r>
      <w:r>
        <w:rPr>
          <w:rFonts w:hint="eastAsia" w:ascii="宋体" w:hAnsi="宋体"/>
          <w:bCs/>
          <w:color w:val="auto"/>
          <w:sz w:val="24"/>
          <w:highlight w:val="none"/>
        </w:rPr>
        <w:t>产品应满足相关国家标准及行业标准。</w:t>
      </w:r>
    </w:p>
    <w:p w14:paraId="3F27CDEB">
      <w:pPr>
        <w:pStyle w:val="3"/>
        <w:rPr>
          <w:rFonts w:hint="eastAsia"/>
          <w:color w:val="auto"/>
          <w:highlight w:val="none"/>
        </w:rPr>
      </w:pPr>
    </w:p>
    <w:p w14:paraId="3C8F6EFA">
      <w:pPr>
        <w:widowControl/>
        <w:spacing w:line="360" w:lineRule="auto"/>
        <w:rPr>
          <w:rFonts w:ascii="宋体" w:hAnsi="宋体"/>
          <w:b/>
          <w:color w:val="auto"/>
          <w:sz w:val="24"/>
          <w:highlight w:val="none"/>
        </w:rPr>
      </w:pPr>
      <w:r>
        <w:rPr>
          <w:rFonts w:ascii="宋体" w:hAnsi="宋体"/>
          <w:b/>
          <w:color w:val="auto"/>
          <w:sz w:val="24"/>
          <w:highlight w:val="none"/>
        </w:rPr>
        <w:t>7</w:t>
      </w:r>
      <w:r>
        <w:rPr>
          <w:rFonts w:hint="eastAsia" w:ascii="宋体" w:hAnsi="宋体"/>
          <w:b/>
          <w:color w:val="auto"/>
          <w:sz w:val="24"/>
          <w:highlight w:val="none"/>
        </w:rPr>
        <w:t>、</w:t>
      </w:r>
      <w:r>
        <w:rPr>
          <w:rFonts w:ascii="宋体" w:hAnsi="宋体"/>
          <w:b/>
          <w:color w:val="auto"/>
          <w:sz w:val="24"/>
          <w:highlight w:val="none"/>
        </w:rPr>
        <w:t>其它</w:t>
      </w:r>
    </w:p>
    <w:p w14:paraId="67CCEB81">
      <w:pPr>
        <w:widowControl/>
        <w:spacing w:before="156" w:beforeLines="50" w:line="400" w:lineRule="exact"/>
        <w:rPr>
          <w:rFonts w:ascii="宋体" w:hAnsi="宋体"/>
          <w:color w:val="auto"/>
          <w:sz w:val="24"/>
          <w:highlight w:val="none"/>
        </w:rPr>
      </w:pPr>
      <w:r>
        <w:rPr>
          <w:rFonts w:ascii="宋体" w:hAnsi="宋体"/>
          <w:color w:val="auto"/>
          <w:sz w:val="24"/>
          <w:highlight w:val="none"/>
        </w:rPr>
        <w:t>对仪器设备生产厂家要求：</w:t>
      </w:r>
    </w:p>
    <w:p w14:paraId="545B49F6">
      <w:pPr>
        <w:widowControl/>
        <w:numPr>
          <w:ilvl w:val="0"/>
          <w:numId w:val="1"/>
        </w:numPr>
        <w:tabs>
          <w:tab w:val="left" w:pos="0"/>
        </w:tabs>
        <w:spacing w:before="156" w:beforeLines="50" w:line="400" w:lineRule="exact"/>
        <w:jc w:val="left"/>
        <w:rPr>
          <w:rFonts w:ascii="宋体" w:hAnsi="宋体"/>
          <w:color w:val="auto"/>
          <w:sz w:val="24"/>
          <w:highlight w:val="none"/>
        </w:rPr>
      </w:pPr>
      <w:r>
        <w:rPr>
          <w:rFonts w:ascii="宋体" w:hAnsi="宋体"/>
          <w:color w:val="auto"/>
          <w:sz w:val="24"/>
          <w:highlight w:val="none"/>
        </w:rPr>
        <w:t>厂家应具备一定规模的科研、生产、技术支持及售后服务能力。</w:t>
      </w:r>
    </w:p>
    <w:p w14:paraId="725419DA">
      <w:pPr>
        <w:widowControl/>
        <w:numPr>
          <w:ilvl w:val="0"/>
          <w:numId w:val="1"/>
        </w:numPr>
        <w:tabs>
          <w:tab w:val="left" w:pos="0"/>
        </w:tabs>
        <w:spacing w:before="156" w:beforeLines="50" w:line="400" w:lineRule="exact"/>
        <w:jc w:val="left"/>
        <w:rPr>
          <w:rFonts w:hint="eastAsia" w:ascii="宋体" w:hAnsi="宋体"/>
          <w:color w:val="auto"/>
          <w:sz w:val="24"/>
          <w:highlight w:val="none"/>
        </w:rPr>
      </w:pPr>
      <w:r>
        <w:rPr>
          <w:rFonts w:ascii="宋体" w:hAnsi="宋体"/>
          <w:color w:val="auto"/>
          <w:sz w:val="24"/>
          <w:highlight w:val="none"/>
        </w:rPr>
        <w:t>厂家在国内设有技术支持中心及维修中心 。</w:t>
      </w:r>
    </w:p>
    <w:p w14:paraId="5F2CD25A">
      <w:pPr>
        <w:pStyle w:val="3"/>
        <w:rPr>
          <w:color w:val="auto"/>
          <w:highlight w:val="none"/>
        </w:rPr>
      </w:pPr>
    </w:p>
    <w:p w14:paraId="393E9247">
      <w:pPr>
        <w:widowControl/>
        <w:tabs>
          <w:tab w:val="left" w:pos="900"/>
        </w:tabs>
        <w:spacing w:after="156" w:afterLines="50" w:line="360" w:lineRule="auto"/>
        <w:jc w:val="left"/>
        <w:rPr>
          <w:rFonts w:ascii="宋体" w:hAnsi="宋体" w:cs="宋体"/>
          <w:b/>
          <w:bCs/>
          <w:color w:val="auto"/>
          <w:kern w:val="0"/>
          <w:sz w:val="24"/>
          <w:highlight w:val="none"/>
        </w:rPr>
      </w:pPr>
      <w:r>
        <w:rPr>
          <w:rFonts w:ascii="宋体" w:hAnsi="宋体" w:cs="宋体"/>
          <w:b/>
          <w:bCs/>
          <w:color w:val="auto"/>
          <w:kern w:val="0"/>
          <w:sz w:val="24"/>
          <w:highlight w:val="none"/>
        </w:rPr>
        <w:t>8</w:t>
      </w:r>
      <w:r>
        <w:rPr>
          <w:rFonts w:hint="eastAsia" w:ascii="宋体" w:hAnsi="宋体" w:cs="宋体"/>
          <w:b/>
          <w:bCs/>
          <w:color w:val="auto"/>
          <w:kern w:val="0"/>
          <w:sz w:val="24"/>
          <w:highlight w:val="none"/>
        </w:rPr>
        <w:t>、付款方式：</w:t>
      </w:r>
    </w:p>
    <w:p w14:paraId="79830F1F">
      <w:pPr>
        <w:spacing w:line="360" w:lineRule="auto"/>
        <w:rPr>
          <w:rFonts w:ascii="宋体" w:hAnsi="宋体"/>
          <w:color w:val="auto"/>
          <w:sz w:val="24"/>
          <w:highlight w:val="none"/>
        </w:rPr>
      </w:pPr>
      <w:r>
        <w:rPr>
          <w:rFonts w:hint="eastAsia" w:ascii="宋体" w:hAnsi="宋体"/>
          <w:color w:val="auto"/>
          <w:sz w:val="24"/>
          <w:highlight w:val="none"/>
        </w:rPr>
        <w:t>对于国产产品，合同签订后支付30%，货物送达时支付60%，验收合格后支付10%；</w:t>
      </w:r>
    </w:p>
    <w:p w14:paraId="3DD03870">
      <w:pPr>
        <w:spacing w:line="360" w:lineRule="auto"/>
        <w:rPr>
          <w:rFonts w:hint="eastAsia" w:hAnsi="宋体"/>
          <w:color w:val="auto"/>
          <w:sz w:val="32"/>
          <w:szCs w:val="32"/>
          <w:highlight w:val="none"/>
        </w:rPr>
      </w:pPr>
      <w:r>
        <w:rPr>
          <w:rFonts w:hint="eastAsia" w:ascii="宋体" w:hAnsi="宋体"/>
          <w:color w:val="auto"/>
          <w:sz w:val="24"/>
          <w:highlight w:val="none"/>
        </w:rPr>
        <w:t>对于进口产品，</w:t>
      </w:r>
      <w:r>
        <w:rPr>
          <w:rFonts w:hint="eastAsia"/>
          <w:color w:val="auto"/>
          <w:sz w:val="24"/>
          <w:szCs w:val="32"/>
          <w:highlight w:val="none"/>
        </w:rPr>
        <w:t xml:space="preserve"> 外贸合同签订后, 由买方委托的进口代理给中标商指定的境外公司（即外贸合同卖方）开立100%合同金额的不可撤销即期信用证，该信用证项下：a. 30%合同金额凭卖方出具的正本发票议付，b. 35%合同金额凭卖方出具的正本发票议付并且卖方提交议付单据的时间需在合同签署之日起的8周之后，c. 25%合同金额凭卖方提交的装运单据议付，d. 10%合同金额凭最终用户签署（签字且盖章）的正本验收报告议付。</w:t>
      </w:r>
    </w:p>
    <w:p w14:paraId="7C2D9868">
      <w:pPr>
        <w:pStyle w:val="2"/>
        <w:rPr>
          <w:rFonts w:hint="eastAsia"/>
          <w:color w:val="auto"/>
          <w:highlight w:val="none"/>
        </w:rPr>
      </w:pPr>
      <w:r>
        <w:rPr>
          <w:rFonts w:hint="eastAsia"/>
          <w:color w:val="auto"/>
          <w:highlight w:val="none"/>
        </w:rPr>
        <w:t>注：若遇不可抗力（出口管制等）造成卖方无法按照约定时间发货，那么卖方需将买方已支付的预付款全额退回。</w:t>
      </w:r>
    </w:p>
    <w:p w14:paraId="6A6486E4">
      <w:pPr>
        <w:pStyle w:val="3"/>
        <w:rPr>
          <w:rFonts w:hint="eastAsia"/>
          <w:color w:val="auto"/>
          <w:highlight w:val="none"/>
        </w:rPr>
      </w:pPr>
    </w:p>
    <w:p w14:paraId="6E66A79E">
      <w:pPr>
        <w:widowControl/>
        <w:tabs>
          <w:tab w:val="left" w:pos="0"/>
        </w:tabs>
        <w:spacing w:line="360" w:lineRule="auto"/>
        <w:jc w:val="left"/>
        <w:rPr>
          <w:rFonts w:hint="eastAsia" w:ascii="宋体" w:hAnsi="宋体"/>
          <w:b/>
          <w:bCs/>
          <w:color w:val="auto"/>
          <w:sz w:val="24"/>
          <w:highlight w:val="none"/>
        </w:rPr>
      </w:pPr>
      <w:r>
        <w:rPr>
          <w:rFonts w:hint="eastAsia" w:ascii="宋体" w:hAnsi="宋体" w:cs="宋体"/>
          <w:b/>
          <w:bCs/>
          <w:color w:val="auto"/>
          <w:kern w:val="0"/>
          <w:sz w:val="24"/>
          <w:highlight w:val="none"/>
        </w:rPr>
        <w:t>★</w:t>
      </w:r>
      <w:r>
        <w:rPr>
          <w:rFonts w:ascii="宋体" w:hAnsi="宋体" w:cs="宋体"/>
          <w:b/>
          <w:bCs/>
          <w:color w:val="auto"/>
          <w:kern w:val="0"/>
          <w:sz w:val="24"/>
          <w:highlight w:val="none"/>
        </w:rPr>
        <w:t>9</w:t>
      </w:r>
      <w:r>
        <w:rPr>
          <w:rFonts w:hint="eastAsia" w:ascii="宋体" w:hAnsi="宋体"/>
          <w:b/>
          <w:bCs/>
          <w:color w:val="auto"/>
          <w:sz w:val="24"/>
          <w:highlight w:val="none"/>
        </w:rPr>
        <w:t>、投标报价要求：</w:t>
      </w:r>
    </w:p>
    <w:p w14:paraId="3DF8D877">
      <w:pPr>
        <w:widowControl/>
        <w:tabs>
          <w:tab w:val="left" w:pos="900"/>
        </w:tabs>
        <w:spacing w:line="360" w:lineRule="auto"/>
        <w:jc w:val="left"/>
        <w:rPr>
          <w:rFonts w:ascii="宋体" w:hAnsi="宋体" w:cs="仿宋_GB2312"/>
          <w:color w:val="auto"/>
          <w:sz w:val="24"/>
          <w:highlight w:val="none"/>
        </w:rPr>
      </w:pPr>
      <w:r>
        <w:rPr>
          <w:rFonts w:hint="eastAsia" w:ascii="宋体" w:hAnsi="宋体" w:cs="仿宋_GB2312"/>
          <w:color w:val="auto"/>
          <w:kern w:val="0"/>
          <w:sz w:val="24"/>
          <w:highlight w:val="none"/>
        </w:rPr>
        <w:t>（1）本项目允许采购进口产品，进口产品与服务报项目现场交货人民币免税价。</w:t>
      </w:r>
      <w:r>
        <w:rPr>
          <w:rFonts w:hint="eastAsia" w:ascii="宋体" w:hAnsi="宋体" w:cs="仿宋_GB2312"/>
          <w:color w:val="auto"/>
          <w:sz w:val="24"/>
          <w:highlight w:val="none"/>
        </w:rPr>
        <w:t>价格包括：</w:t>
      </w:r>
    </w:p>
    <w:p w14:paraId="7B880CA0">
      <w:pPr>
        <w:widowControl/>
        <w:tabs>
          <w:tab w:val="left" w:pos="900"/>
        </w:tabs>
        <w:spacing w:line="360" w:lineRule="auto"/>
        <w:ind w:firstLine="480" w:firstLineChars="200"/>
        <w:jc w:val="left"/>
        <w:rPr>
          <w:rFonts w:ascii="宋体" w:hAnsi="宋体" w:cs="仿宋_GB2312"/>
          <w:color w:val="auto"/>
          <w:sz w:val="24"/>
          <w:highlight w:val="none"/>
        </w:rPr>
      </w:pPr>
      <w:r>
        <w:rPr>
          <w:rFonts w:hint="eastAsia" w:ascii="宋体" w:hAnsi="宋体" w:cs="仿宋_GB2312"/>
          <w:color w:val="auto"/>
          <w:sz w:val="24"/>
          <w:highlight w:val="none"/>
        </w:rPr>
        <w:t>1）CIP价</w:t>
      </w:r>
    </w:p>
    <w:p w14:paraId="68817A65">
      <w:pPr>
        <w:widowControl/>
        <w:tabs>
          <w:tab w:val="left" w:pos="900"/>
        </w:tabs>
        <w:spacing w:line="360" w:lineRule="auto"/>
        <w:ind w:firstLine="480" w:firstLineChars="200"/>
        <w:jc w:val="left"/>
        <w:rPr>
          <w:rFonts w:ascii="宋体" w:hAnsi="宋体" w:cs="仿宋_GB2312"/>
          <w:color w:val="auto"/>
          <w:sz w:val="24"/>
          <w:highlight w:val="none"/>
        </w:rPr>
      </w:pPr>
      <w:r>
        <w:rPr>
          <w:rFonts w:hint="eastAsia" w:ascii="宋体" w:hAnsi="宋体" w:cs="仿宋_GB2312"/>
          <w:color w:val="auto"/>
          <w:sz w:val="24"/>
          <w:highlight w:val="none"/>
        </w:rPr>
        <w:t>2）其他伴随服务费用：安装与调试、验收、检验、培训、技术文件的移交、质保期服务、技术服务、外贸代理费、卸货费及招标文件要求提供的其它服务。</w:t>
      </w:r>
    </w:p>
    <w:p w14:paraId="58ABDCB2">
      <w:pPr>
        <w:widowControl/>
        <w:tabs>
          <w:tab w:val="left" w:pos="900"/>
        </w:tabs>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（2）国产产品与服务报项目现场交货人民币含税价。报价中需包括制造、装配和发运货物所使用的材料、部件及货物本身已支付或将支付的产品税、销售税和其它税费。采购人不再另行支付其他任何费用。</w:t>
      </w:r>
    </w:p>
    <w:p w14:paraId="18E21C5E">
      <w:pPr>
        <w:widowControl/>
        <w:tabs>
          <w:tab w:val="left" w:pos="900"/>
        </w:tabs>
        <w:spacing w:line="360" w:lineRule="auto"/>
        <w:ind w:firstLine="480" w:firstLineChars="2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关境内供货的国外产品与服务报项目现场交货人民币含税价（报价中需包括制造、装配和发运货物所使用的材料、部件及货物本身已支付或将支付的产品税、销售税和其它税费）。采购人不再另行支付其他任何费用。</w:t>
      </w:r>
    </w:p>
    <w:p w14:paraId="48A767DD">
      <w:pPr>
        <w:widowControl/>
        <w:tabs>
          <w:tab w:val="left" w:pos="900"/>
        </w:tabs>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（3）如投标产品中既有进口产品又有国产产品或者国内供货的国外货物应采用人民币免税价加人民币含税价的报价方式。</w:t>
      </w:r>
    </w:p>
    <w:p w14:paraId="0491EE33">
      <w:pPr>
        <w:spacing w:line="360" w:lineRule="auto"/>
        <w:rPr>
          <w:rFonts w:hint="eastAsia" w:ascii="宋体" w:hAns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4</w:t>
      </w:r>
      <w:r>
        <w:rPr>
          <w:rFonts w:hint="eastAsia" w:ascii="宋体" w:hAnsi="宋体" w:cs="仿宋_GB2312"/>
          <w:color w:val="auto"/>
          <w:kern w:val="0"/>
          <w:sz w:val="24"/>
          <w:highlight w:val="none"/>
        </w:rPr>
        <w:t>）上述价格的构成须按在分项报价表中格式要求详细列出。</w:t>
      </w:r>
    </w:p>
    <w:p w14:paraId="74FFBA08">
      <w:pPr>
        <w:spacing w:line="360" w:lineRule="auto"/>
        <w:jc w:val="left"/>
        <w:rPr>
          <w:rFonts w:ascii="宋体" w:hAnsi="宋体" w:cs="仿宋_GB2312"/>
          <w:b/>
          <w:color w:val="auto"/>
          <w:kern w:val="0"/>
          <w:sz w:val="24"/>
          <w:highlight w:val="none"/>
        </w:rPr>
      </w:pPr>
      <w:r>
        <w:rPr>
          <w:rFonts w:hint="eastAsia" w:ascii="宋体" w:hAnsi="宋体" w:cs="仿宋_GB2312"/>
          <w:b/>
          <w:color w:val="auto"/>
          <w:kern w:val="0"/>
          <w:sz w:val="24"/>
          <w:highlight w:val="none"/>
        </w:rPr>
        <w:t>（</w:t>
      </w:r>
      <w:r>
        <w:rPr>
          <w:rFonts w:ascii="宋体" w:hAnsi="宋体" w:cs="仿宋_GB2312"/>
          <w:b/>
          <w:color w:val="auto"/>
          <w:kern w:val="0"/>
          <w:sz w:val="24"/>
          <w:highlight w:val="none"/>
        </w:rPr>
        <w:t>5</w:t>
      </w:r>
      <w:r>
        <w:rPr>
          <w:rFonts w:hint="eastAsia" w:ascii="宋体" w:hAnsi="宋体" w:cs="仿宋_GB2312"/>
          <w:b/>
          <w:color w:val="auto"/>
          <w:kern w:val="0"/>
          <w:sz w:val="24"/>
          <w:highlight w:val="none"/>
        </w:rPr>
        <w:t>）对原产于美国的产品，进口时在正常科创免税之外，中国政府加征的特殊关税由中标人承担。</w:t>
      </w:r>
    </w:p>
    <w:p w14:paraId="7EFD4E1B">
      <w:pPr>
        <w:spacing w:line="360" w:lineRule="auto"/>
        <w:jc w:val="left"/>
        <w:rPr>
          <w:rFonts w:hint="eastAsia" w:ascii="宋体" w:hAnsi="宋体" w:cs="仿宋_GB2312"/>
          <w:b/>
          <w:color w:val="auto"/>
          <w:kern w:val="0"/>
          <w:sz w:val="24"/>
          <w:highlight w:val="none"/>
        </w:rPr>
      </w:pPr>
      <w:r>
        <w:rPr>
          <w:rFonts w:hint="eastAsia" w:ascii="宋体" w:hAnsi="宋体" w:cs="仿宋_GB2312"/>
          <w:b/>
          <w:color w:val="auto"/>
          <w:kern w:val="0"/>
          <w:sz w:val="24"/>
          <w:highlight w:val="none"/>
        </w:rPr>
        <w:t>（</w:t>
      </w:r>
      <w:r>
        <w:rPr>
          <w:rFonts w:ascii="宋体" w:hAnsi="宋体" w:cs="仿宋_GB2312"/>
          <w:b/>
          <w:color w:val="auto"/>
          <w:kern w:val="0"/>
          <w:sz w:val="24"/>
          <w:highlight w:val="none"/>
        </w:rPr>
        <w:t>6</w:t>
      </w:r>
      <w:r>
        <w:rPr>
          <w:rFonts w:hint="eastAsia" w:ascii="宋体" w:hAnsi="宋体" w:cs="仿宋_GB2312"/>
          <w:b/>
          <w:color w:val="auto"/>
          <w:kern w:val="0"/>
          <w:sz w:val="24"/>
          <w:highlight w:val="none"/>
        </w:rPr>
        <w:t>）如因国家相关免税政策变动，无法办理进口仪器免税事宜，所产生的税费需由中标人承担。</w:t>
      </w:r>
    </w:p>
    <w:p w14:paraId="39AC15BF">
      <w:pPr>
        <w:pStyle w:val="3"/>
        <w:rPr>
          <w:rFonts w:hint="eastAsia"/>
          <w:color w:val="auto"/>
          <w:highlight w:val="none"/>
        </w:rPr>
      </w:pPr>
    </w:p>
    <w:p w14:paraId="1533E05E">
      <w:pPr>
        <w:widowControl/>
        <w:tabs>
          <w:tab w:val="left" w:pos="900"/>
        </w:tabs>
        <w:spacing w:line="360" w:lineRule="auto"/>
        <w:jc w:val="left"/>
        <w:rPr>
          <w:rFonts w:ascii="宋体" w:hAnsi="宋体" w:cs="宋体"/>
          <w:b/>
          <w:bCs/>
          <w:color w:val="auto"/>
          <w:kern w:val="0"/>
          <w:sz w:val="24"/>
          <w:highlight w:val="none"/>
          <w:u w:val="single"/>
        </w:rPr>
      </w:pPr>
      <w:r>
        <w:rPr>
          <w:rFonts w:hint="eastAsia" w:ascii="宋体" w:hAnsi="宋体" w:cs="宋体"/>
          <w:b/>
          <w:bCs/>
          <w:color w:val="auto"/>
          <w:kern w:val="0"/>
          <w:sz w:val="24"/>
          <w:highlight w:val="none"/>
        </w:rPr>
        <w:t>1</w:t>
      </w:r>
      <w:r>
        <w:rPr>
          <w:rFonts w:ascii="宋体" w:hAnsi="宋体" w:cs="宋体"/>
          <w:b/>
          <w:bCs/>
          <w:color w:val="auto"/>
          <w:kern w:val="0"/>
          <w:sz w:val="24"/>
          <w:highlight w:val="none"/>
        </w:rPr>
        <w:t>0</w:t>
      </w:r>
      <w:r>
        <w:rPr>
          <w:rFonts w:hint="eastAsia" w:ascii="宋体" w:hAnsi="宋体" w:cs="宋体"/>
          <w:b/>
          <w:bCs/>
          <w:color w:val="auto"/>
          <w:kern w:val="0"/>
          <w:sz w:val="24"/>
          <w:highlight w:val="none"/>
        </w:rPr>
        <w:t>、是否允许采购进口产品：</w:t>
      </w:r>
      <w:r>
        <w:rPr>
          <w:rFonts w:hint="eastAsia" w:ascii="宋体" w:hAnsi="宋体" w:cs="宋体"/>
          <w:b/>
          <w:bCs/>
          <w:color w:val="auto"/>
          <w:kern w:val="0"/>
          <w:sz w:val="24"/>
          <w:highlight w:val="none"/>
          <w:u w:val="single"/>
        </w:rPr>
        <w:t>是</w:t>
      </w:r>
    </w:p>
    <w:p w14:paraId="505627B1">
      <w:pPr>
        <w:pStyle w:val="3"/>
        <w:rPr>
          <w:rFonts w:hint="eastAsia"/>
          <w:color w:val="auto"/>
          <w:highlight w:val="none"/>
        </w:rPr>
      </w:pPr>
    </w:p>
    <w:p w14:paraId="36595494">
      <w:pPr>
        <w:widowControl/>
        <w:tabs>
          <w:tab w:val="left" w:pos="900"/>
        </w:tabs>
        <w:spacing w:line="360" w:lineRule="auto"/>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1</w:t>
      </w:r>
      <w:r>
        <w:rPr>
          <w:rFonts w:ascii="宋体" w:hAnsi="宋体" w:cs="宋体"/>
          <w:b/>
          <w:bCs/>
          <w:color w:val="auto"/>
          <w:kern w:val="0"/>
          <w:sz w:val="24"/>
          <w:highlight w:val="none"/>
        </w:rPr>
        <w:t>1</w:t>
      </w:r>
      <w:r>
        <w:rPr>
          <w:rFonts w:hint="eastAsia" w:ascii="宋体" w:hAnsi="宋体" w:cs="宋体"/>
          <w:b/>
          <w:bCs/>
          <w:color w:val="auto"/>
          <w:kern w:val="0"/>
          <w:sz w:val="24"/>
          <w:highlight w:val="none"/>
        </w:rPr>
        <w:t>、预算金额：1440万元</w:t>
      </w:r>
    </w:p>
    <w:p w14:paraId="58FC5232">
      <w:pPr>
        <w:widowControl/>
        <w:tabs>
          <w:tab w:val="left" w:pos="900"/>
        </w:tabs>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最高限价：1440万元</w:t>
      </w:r>
    </w:p>
    <w:p w14:paraId="0F85476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CA1BFE"/>
    <w:multiLevelType w:val="singleLevel"/>
    <w:tmpl w:val="DDCA1BF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zMzRmZmU4NGY3NGViMWYyOWQyY2M0ZjViZjdlNDcifQ=="/>
  </w:docVars>
  <w:rsids>
    <w:rsidRoot w:val="650E0F52"/>
    <w:rsid w:val="650E0F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3">
    <w:name w:val="Plain Text"/>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2024-10-21T08:02:00Z</dcterms:created>
  <dc:creator>逆夢</dc:creator>
  <cp:lastModifiedBy>逆夢</cp:lastModifiedBy>
  <dcterms:modified xsi:type="dcterms:W3CDTF">2024-10-21T08:03:23Z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8079691A42ED4B5F97EF490DB461813D_11</vt:lpwstr>
  </property>
</Properties>
</file>